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7D" w:rsidRPr="005E6FD7" w:rsidRDefault="0022027D" w:rsidP="002202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6FD7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 – расширены</w:t>
      </w:r>
    </w:p>
    <w:p w:rsidR="0022027D" w:rsidRPr="005E6FD7" w:rsidRDefault="0022027D" w:rsidP="00220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Кадастровая палата по Волгоградской области получила возможность осуществлять дополнительные виды деятельности.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 xml:space="preserve">28 июня 2017 года вступили в силу изменения в устав Федеральной кадастровой палаты Росреестра. Теперь за учреждением закрепляются новые </w:t>
      </w:r>
      <w:proofErr w:type="gramStart"/>
      <w:r w:rsidRPr="005E6FD7">
        <w:rPr>
          <w:rFonts w:eastAsiaTheme="minorHAnsi"/>
          <w:color w:val="000000"/>
          <w:lang w:eastAsia="en-US"/>
        </w:rPr>
        <w:t>функции</w:t>
      </w:r>
      <w:proofErr w:type="gramEnd"/>
      <w:r w:rsidRPr="005E6FD7">
        <w:rPr>
          <w:rFonts w:eastAsiaTheme="minorHAnsi"/>
          <w:color w:val="000000"/>
          <w:lang w:eastAsia="en-US"/>
        </w:rPr>
        <w:t xml:space="preserve"> и предоставляется возможность заниматься дополнительными видами деятельности. Перемены в деятельности Кадастровой палаты вызваны преобразованием законодательной базы учётно-регистрационной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"С 1 января 2017 года, в связи с вступлением в силу 218-ФЗ, функции кадастрового учёта и регистрации прав сосредоточены в Росреестре, появилась единая учётно-регистрационная процедура и Единый реестр недвижимости. В связи с этим Кадастровой палате необходимо сосредоточиться на новых направлениях деятельности. Теперь мы будем предоставлять населению услуги в сфере недвижимости, выдавать сертификаты электронной подписи, переводить архивные дела в электронную форму и ряд других услуг. В том числе планируется выполнение кадастровых работ для объектов федеральной собственности. Также одно из важных направлений - исправление кадастровых (реестровых) ошибок", - поясняет директор Кадастровой палаты по Волгоградской области Алексей Колесников.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Кроме того, с июня 2017 года Кадастровая палата вправе осуществлять следующие виды приносящей доход деятельности: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выполнение кадастровых работ с целью кадастрового учёта изменений, которые возникли из-за исправления реестровых ошибок в описании местоположения границ земельных участков;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выполнение комплексных кадастровых работ по государственным и муниципальным контрактам;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создание и модернизация информационных систем различного назначения, их эксплуатация и организационно-технологическое сопровождение, обеспечение функционирования и использование содержащихся в них информационных ресурсов;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- выполнение научно-исследовательских, опытно-конструкторских работ;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lastRenderedPageBreak/>
        <w:t>- оказание информационных, справочных, аналитических и консультационных услуг, анализ программ и проектов.</w:t>
      </w:r>
    </w:p>
    <w:p w:rsidR="0022027D" w:rsidRPr="005E6FD7" w:rsidRDefault="0022027D" w:rsidP="002202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5E6FD7">
        <w:rPr>
          <w:rFonts w:eastAsiaTheme="minorHAnsi"/>
          <w:color w:val="000000"/>
          <w:lang w:eastAsia="en-US"/>
        </w:rPr>
        <w:t>Также, в связи с нововведениями, Кадастровая палата будет обеспечивать представление в саморегулируемые организации кадастровых инженеров информацию о результатах профессиональной деятельности их членов.</w:t>
      </w:r>
    </w:p>
    <w:p w:rsidR="00FB1C38" w:rsidRDefault="00FB1C38"/>
    <w:sectPr w:rsidR="00FB1C38" w:rsidSect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7D"/>
    <w:rsid w:val="0022027D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2017-09-06T11:24:00Z</dcterms:created>
  <dcterms:modified xsi:type="dcterms:W3CDTF">2017-09-06T11:24:00Z</dcterms:modified>
</cp:coreProperties>
</file>