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Как пенсионерам воспользоваться услугами Пенсионного фонда во время ограничительных мер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графики приема граждан в клиентских службах территориальных органов, подведомственных ПФР, остаются неизменными.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Волгограда и Волжского  </w:t>
      </w:r>
      <w:r>
        <w:rPr>
          <w:rFonts w:cs="Times New Roman" w:ascii="Times New Roman" w:hAnsi="Times New Roman"/>
          <w:sz w:val="28"/>
          <w:szCs w:val="28"/>
        </w:rPr>
        <w:t xml:space="preserve">единый многоканальный телефон </w:t>
      </w:r>
      <w:r>
        <w:rPr>
          <w:rFonts w:cs="Times New Roman" w:ascii="Times New Roman" w:hAnsi="Times New Roman"/>
          <w:b/>
          <w:sz w:val="28"/>
          <w:szCs w:val="28"/>
        </w:rPr>
        <w:t>96-09-09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2020-11-02T09:12:51Z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