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170 тысячам работающим пенсионерам Волгоградской области произвели ежегодную корректировку пенсии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Ежегодно с первого  августа  ПФР производит  перерасчет  размеров страховых пенсий  работающим пенсионерам.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С 1 августа 2019 года  размеры страховых пенсий корректируются  на основании данных индивидуального (персонифицированного) учета в системе обязательного пенсионного страхования.  Страховые пенсии увеличиваются исходя из суммы страховых взносов, уплаченных работодателями в 2018 году и не учтенных при назначении  или предыдущем перерасчете пенсий.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Законодательством установлены максимальные значения индивидуального пенсионного коэффициента, которые учитываются при беззаявительном перерасчете страховой пенсии. Средний размер увеличения пенсии у пенсионеров Волгоградской области составит 134 рубля. Размер прибавки зависит от размера зарплаты работающего пенсионера.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Перерасчет пенсий коснется порядка 170 тысяч работающих пенсионеров.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ab/>
        <w:t>Обращаться пенсионерам в Пенсионный фонд не нужно. Перерасчет происходит в беззаявительном порядке.</w:t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90" cy="17081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546.7pt;margin-top:0.05pt;width:5.6pt;height:13.3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rsid w:val="005d0fb8"/>
    <w:pPr>
      <w:keepNext/>
      <w:numPr>
        <w:ilvl w:val="0"/>
        <w:numId w:val="1"/>
      </w:numPr>
      <w:suppressAutoHyphens w:val="false"/>
      <w:outlineLvl w:val="0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24"/>
      <w:szCs w:val="20"/>
      <w:lang w:eastAsia="ar-SA" w:val="ru-RU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sz w:val="24"/>
      <w:szCs w:val="20"/>
      <w:lang w:eastAsia="ar-SA" w:val="ru-RU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sz w:val="24"/>
      <w:szCs w:val="20"/>
      <w:lang w:eastAsia="hi-IN" w:bidi="hi-IN" w:val="ru-RU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2019-07-29T08:17:00Z</dcterms:created>
  <dc:creator>Банько</dc:creator>
  <dc:language>ru-RU</dc:language>
  <cp:lastPrinted>2019-01-24T06:11:00Z</cp:lastPrinted>
  <dcterms:modified xsi:type="dcterms:W3CDTF">2019-08-23T09:40:58Z</dcterms:modified>
  <cp:revision>12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