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beforeAutospacing="0" w:before="60" w:afterAutospacing="0" w:after="60"/>
        <w:ind w:firstLine="567"/>
        <w:jc w:val="center"/>
        <w:rPr/>
      </w:pPr>
      <w:r>
        <w:rPr/>
        <w:t>Свыше 1,1 млн россиян подтвердили право на предпенсионные льготы с начала года</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pPr>
      <w:r>
        <w:rPr/>
        <w:t>Пенсионный фонд России подтвердил право свыше 1,1 млн граждан предпенсионного возраста на меры социальной поддержки и льготы, положенные по новому законодательству. Соответствующие сведения направлялись работодателям, органам власти и ведомствам, оказывающим льготы, либо предоставлялись самим предпенсионерам в клиентских службах Пенсионного фонда, личном кабинете или МФЦ.</w:t>
      </w:r>
    </w:p>
    <w:p>
      <w:pPr>
        <w:pStyle w:val="Style14"/>
        <w:rPr/>
      </w:pPr>
      <w:r>
        <w:rPr/>
        <w:t>Наибольший объем подтверждающих сведений с начала года был передан работодателям. Они обеспечивают два выходных дня в год для прохождения предпенсионером диспансеризации, а также несут ответственность за увольнение работников или отказ в приеме на работу по причине возраста.</w:t>
      </w:r>
    </w:p>
    <w:p>
      <w:pPr>
        <w:pStyle w:val="Style14"/>
        <w:rPr/>
      </w:pPr>
      <w:r>
        <w:rPr/>
        <w:t>Для реализации этих гарантий ПФР передал по запросам от работодателей сведения в отношении 315 тыс. человек. Соответствующий информационный обмен происходил на основе соглашений, заключенных Пенсионным фондом с компаниями-работодателями. В настоящее время такие соглашения есть с 1,2 млн предприятий.</w:t>
      </w:r>
    </w:p>
    <w:p>
      <w:pPr>
        <w:pStyle w:val="Style14"/>
        <w:rPr/>
      </w:pPr>
      <w:r>
        <w:rPr/>
        <w:t>Почти 300 тыс. запросов поступило из центров занятости, которые осуществляют профессиональное переобучение и повышение квалификации предпенсионеров. Центры занятости также платят увеличенное пособие в период, когда предпенсионер проходит обучение или ищет работу.</w:t>
      </w:r>
    </w:p>
    <w:p>
      <w:pPr>
        <w:pStyle w:val="Style14"/>
        <w:rPr/>
      </w:pPr>
      <w:r>
        <w:rPr/>
        <w:t>Через ЕГИССО (Единую информационную систему социального обеспечения) право на предпенсионные льготы подтвердили 141 тыс. человек. Сведения ПФР направлялись органам социальной защиты, которые предоставляют региональные меры поддержки, определяемые законами субъектов РФ. Такие льготы, в частности, могут касаться лекарств, проезда на транспорте или оплаты жилищно-коммунальных услуг.</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NormalWeb"/>
        <w:spacing w:lineRule="auto" w:line="360" w:beforeAutospacing="0" w:before="60" w:afterAutospacing="0" w:after="60"/>
        <w:ind w:firstLine="567"/>
        <w:jc w:val="center"/>
        <w:rPr/>
      </w:pPr>
      <w:r>
        <w:rPr/>
      </w: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74be"/>
    <w:pPr>
      <w:widowControl/>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name w:val="Маркеры списка"/>
    <w:qFormat/>
    <w:rPr>
      <w:rFonts w:ascii="OpenSymbol" w:hAnsi="OpenSymbol" w:eastAsia="OpenSymbol" w:cs="OpenSymbol"/>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qFormat/>
    <w:rsid w:val="00b72ba8"/>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LibreOffice/5.0.3.2$Windows_x86 LibreOffice_project/e5f16313668ac592c1bfb310f4390624e3dbfb75</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2019-11-20T11:36:00Z</dcterms:created>
  <dc:creator>044PolovinkinaYUV</dc:creator>
  <dc:language>ru-RU</dc:language>
  <dcterms:modified xsi:type="dcterms:W3CDTF">2019-11-22T14:52:09Z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