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Увеличение суммы материнского капитала за второго ребенка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2020-03-11T17:09:02Z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