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Строго по времени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Не позднее 15 числа каждого месяца всем работодателям </w:t>
      </w:r>
      <w:r>
        <w:rPr>
          <w:rFonts w:ascii="Times New Roman" w:hAnsi="Times New Roman"/>
          <w:b/>
          <w:bCs/>
          <w:sz w:val="28"/>
          <w:szCs w:val="28"/>
        </w:rPr>
        <w:t>Алексеевского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необходимо представлять в Управление Пенсионного фонда в Алексеевском районе сведения о своих работниках по форме СЗВ-М.</w:t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В данном отчете страхователи предоставляют в Управление следующую информацию о каждом работающем у них застрахованном лице:</w:t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Страховой номер индивидуального лицевого счета (СНИЛС);</w:t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Фамилию, имя, отчество;</w:t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Идентификационный номер налогоплательщика (ИНН) (при наличии).</w:t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Важно помнить, что за нарушения установленных сроков и правил подготовки отчетности предусмотрены штрафы: 500 рублей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</w:t>
      </w:r>
    </w:p>
    <w:p>
      <w:pPr>
        <w:pStyle w:val="Style16"/>
        <w:jc w:val="both"/>
        <w:rPr/>
      </w:pPr>
      <w:r>
        <w:rPr>
          <w:b/>
          <w:bCs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 xml:space="preserve">Кодекс об административных правонарушениях Российской Федерации (далее – КоАП РФ) содержит также положения, устанавливающие административную ответственность за нарушение  порядка и сроков представления сведений в органы ПФР. </w:t>
      </w:r>
      <w:r>
        <w:rPr>
          <w:rStyle w:val="Style14"/>
          <w:rFonts w:ascii="Times New Roman" w:hAnsi="Times New Roman"/>
          <w:b/>
          <w:bCs/>
          <w:sz w:val="28"/>
          <w:szCs w:val="28"/>
        </w:rPr>
        <w:t>Административный штраф в размере от 300 до 500 рублей в данном случае накладывается на должностное лицо, то есть на руководителя организации или главного бухгалтера.*</w:t>
      </w:r>
    </w:p>
    <w:p>
      <w:pPr>
        <w:pStyle w:val="Style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Напомним, что 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за лиц, с которыми заключен гражданско-правовой договор, а также за руководителей организаций, являющихся единственными участниками (учредителями) и за руководителей, работающих на выборной основе без оформления трудового договора (ТОСы, ТСЖ и т.д.)</w:t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Учитывая ограниченные сроки, Управление ПФР рекомендует всем страхователям направлять отчет по телекоммуникационным каналам связи с электронной подписью, независимо от численности сотрудников.</w:t>
      </w:r>
    </w:p>
    <w:p>
      <w:pPr>
        <w:pStyle w:val="Style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    </w:t>
      </w:r>
      <w:r>
        <w:rPr>
          <w:rFonts w:ascii="Times New Roman" w:hAnsi="Times New Roman"/>
          <w:b/>
          <w:bCs/>
          <w:sz w:val="28"/>
          <w:szCs w:val="28"/>
        </w:rPr>
        <w:t>По всем возникающим вопросам страхователи могут обращаться в Управление ПФР в Алексеевском районе по телефонам 3-22-37, 3-10-42, 3-18-65.</w:t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2019-09-27T08:44:11Z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