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Материнский (семейный) капитал вырос в 2020 году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1 января 2020 года произошли важные изменения в отношении предоставления волгоградцам материнского (семейного) капитала.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Его размер проиндексирован и составляет 466 617 рублей. Более того, оставшаяся часть материнского капитала, которую семьи еще не использовали, также проиндексирована на 3%.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изменились правила распоряжения средствами материнского (семейного) капитала на получение ежемесячной денежной выплаты. Теперь на получение такой выплаты имеют право семьи: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которых, начиная с 1 января 2018 года, рожден или усыновлен второй ребенок;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доход которых за последние 12 месяцев составляет не более двух прожиточных минимумов трудоспособного населения на одного члена семьи в регионе.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Таким образом, среднедушевой доход на каждого члена семьи в Волгоградской области в 2020 году не должен превышать 21588 рублей.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Более того, была увеличена продолжительность выплаты – с 2020 года родители смогут ее получать, пока ребенку не исполнится три года (в 2019 году – до достижения ребенком полутора лет).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ежемесячной выплаты из средств материнского (семейного) капитала в 2020 году в Волгоградской области составляет 10123 рубля.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Напоминаем, ежемесячная выплата назначается на срок до достижения ребенком возраста одного года. После этого владельцу сертификата необходимо подать новое заявление о назначении выплаты - сначала на срок до достижения ребенком возраста двух лет, а затем на срок до достижения им возраста трех лет. С новым заявлением также предоставляются необходимые документы. С полным перечнем документов можно ознакомиться </w:t>
      </w:r>
      <w:hyperlink r:id="rId3">
        <w:r>
          <w:rPr>
            <w:rStyle w:val="Style12"/>
            <w:rFonts w:eastAsia="Times New Roman" w:cs="Times New Roman" w:ascii="Times New Roman" w:hAnsi="Times New Roman"/>
            <w:sz w:val="28"/>
            <w:szCs w:val="28"/>
            <w:lang w:eastAsia="ru-RU"/>
          </w:rPr>
          <w:t>на сайте ПФР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www.pfrf.ru/knopki/zhizn/~436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2020-01-16T16:11:10Z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