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6.jpeg" ContentType="image/jpe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0" w:hanging="0"/>
        <w:jc w:val="center"/>
        <w:rPr>
          <w:rFonts w:ascii="Century Gothic" w:hAnsi="Century Gothic" w:eastAsia="Gabriola" w:cs="Calibri" w:cstheme="minorHAnsi"/>
          <w:b/>
          <w:b/>
          <w:bCs/>
          <w:color w:val="FFFFFF"/>
          <w:sz w:val="40"/>
          <w:szCs w:val="40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66675</wp:posOffset>
            </wp:positionH>
            <wp:positionV relativeFrom="page">
              <wp:posOffset>133350</wp:posOffset>
            </wp:positionV>
            <wp:extent cx="7343775" cy="384810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briola" w:cs="Calibri" w:ascii="Century Gothic" w:hAnsi="Century Gothic" w:cstheme="minorHAnsi"/>
          <w:b/>
          <w:bCs/>
          <w:color w:val="FFFFFF"/>
          <w:sz w:val="40"/>
          <w:szCs w:val="40"/>
        </w:rPr>
        <w:t>Г</w:t>
      </w:r>
      <w:r>
        <w:rPr>
          <w:rFonts w:eastAsia="Gabriola" w:cs="Calibri" w:ascii="Century Gothic" w:hAnsi="Century Gothic" w:cstheme="minorHAnsi"/>
          <w:b/>
          <w:bCs/>
          <w:color w:val="FFFFFF"/>
          <w:sz w:val="40"/>
          <w:szCs w:val="40"/>
        </w:rPr>
        <w:t xml:space="preserve">ОСУДАРСТВЕННАЯ УСЛУГА </w:t>
      </w:r>
    </w:p>
    <w:p>
      <w:pPr>
        <w:pStyle w:val="Normal"/>
        <w:ind w:right="20" w:hanging="0"/>
        <w:jc w:val="center"/>
        <w:rPr>
          <w:rFonts w:ascii="Century Gothic" w:hAnsi="Century Gothic"/>
          <w:sz w:val="40"/>
          <w:szCs w:val="40"/>
        </w:rPr>
      </w:pPr>
      <w:r>
        <w:rPr>
          <w:rFonts w:eastAsia="Gabriola" w:cs="Calibri" w:ascii="Century Gothic" w:hAnsi="Century Gothic" w:cstheme="minorHAnsi"/>
          <w:b/>
          <w:bCs/>
          <w:color w:val="FFFFFF"/>
          <w:sz w:val="40"/>
          <w:szCs w:val="40"/>
        </w:rPr>
        <w:t>ПЕНСИОННОГО ФОНДА РФ</w:t>
      </w:r>
    </w:p>
    <w:p>
      <w:pPr>
        <w:pStyle w:val="Normal"/>
        <w:spacing w:lineRule="exact" w:line="20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42" w:hanging="0"/>
        <w:jc w:val="center"/>
        <w:rPr>
          <w:rFonts w:ascii="Century Gothic" w:hAnsi="Century Gothic" w:cs="Calibri" w:cstheme="minorHAnsi"/>
          <w:b/>
          <w:b/>
          <w:sz w:val="28"/>
          <w:szCs w:val="28"/>
        </w:rPr>
      </w:pPr>
      <w:r>
        <w:rPr>
          <w:rFonts w:cs="Calibri" w:ascii="Century Gothic" w:hAnsi="Century Gothic" w:cstheme="minorHAnsi"/>
          <w:b/>
          <w:sz w:val="28"/>
          <w:szCs w:val="28"/>
        </w:rPr>
        <w:t xml:space="preserve">ПО ИНФОРМИРОВАНИЮ ЗАСТРАХОВАННЫХ ЛИЦ О СОСТОЯНИИ ИХ ИНДИВИДУАЛЬНЫХ ЛИЦЕВЫХ СЧЕТОВ В  СИСТЕМЕ ОБЯЗАТЕЛЬНОГО ПЕНСИОННОГО СТРАХОВАНИЯ СОГЛАСНО ФЕДЕРАЛЬНЫМ ЗАКОНАМ «ОБ ИНДИВИДУАЛЬНОМ (ПЕРСОНИФИЦИРОВАННОМ) УЧЕТЕ В СИСТЕМЕ                  ОБЯЗАТЕЛЬНОГО ПЕНСИОННОГО СТРАХОВАНИЯ» И «ОБ ИНВЕСТИРОВАНИИ СРЕДСТВ ДЛЯ ФИНАНСИРОВАНИЯ НАКОПИТЕЛЬНОЙ ПЕНСИИ </w:t>
      </w:r>
    </w:p>
    <w:p>
      <w:pPr>
        <w:pStyle w:val="Normal"/>
        <w:ind w:left="0" w:right="142" w:hanging="0"/>
        <w:jc w:val="center"/>
        <w:rPr>
          <w:rFonts w:ascii="Century Gothic" w:hAnsi="Century Gothic" w:cs="Calibri" w:cstheme="minorHAnsi"/>
          <w:b/>
          <w:b/>
        </w:rPr>
      </w:pPr>
      <w:r>
        <w:rPr>
          <w:rFonts w:cs="Calibri" w:ascii="Century Gothic" w:hAnsi="Century Gothic" w:cstheme="minorHAnsi"/>
          <w:b/>
          <w:sz w:val="28"/>
          <w:szCs w:val="28"/>
        </w:rPr>
        <w:t>В РОССИЙСКОЙ ФЕДЕРАЦИИ»</w:t>
      </w:r>
    </w:p>
    <w:p>
      <w:pPr>
        <w:pStyle w:val="Normal"/>
        <w:spacing w:lineRule="auto" w:line="360"/>
        <w:jc w:val="center"/>
        <w:rPr>
          <w:rFonts w:ascii="Century Gothic" w:hAnsi="Century Gothic" w:cs="Calibri" w:cstheme="minorHAnsi"/>
          <w:b/>
          <w:b/>
        </w:rPr>
      </w:pPr>
      <w:r>
        <w:rPr>
          <w:rFonts w:cs="Calibri" w:ascii="Century Gothic" w:hAnsi="Century Gothic" w:cstheme="minorHAnsi"/>
          <w:b/>
        </w:rPr>
        <w:t>(Административный регламент, утвержденный постановлением Правления Пенсионного фонда Российской Федерации  от 27.02.2019 N 100п)</w:t>
      </w:r>
    </w:p>
    <w:p>
      <w:pPr>
        <w:pStyle w:val="Normal"/>
        <w:spacing w:lineRule="auto" w:line="276"/>
        <w:ind w:left="0" w:firstLine="567"/>
        <w:jc w:val="both"/>
        <w:rPr>
          <w:rFonts w:ascii="Century Gothic" w:hAnsi="Century Gothic" w:cs="Calibri" w:cstheme="minorHAnsi"/>
          <w:b/>
          <w:b/>
        </w:rPr>
      </w:pPr>
      <w:r>
        <w:rPr>
          <w:rFonts w:cs="Calibri" w:cstheme="minorHAnsi" w:ascii="Century Gothic" w:hAnsi="Century Gothic"/>
          <w:b/>
        </w:rPr>
      </w:r>
    </w:p>
    <w:p>
      <w:pPr>
        <w:pStyle w:val="Normal"/>
        <w:spacing w:lineRule="auto" w:line="276"/>
        <w:ind w:left="0" w:firstLine="567"/>
        <w:jc w:val="both"/>
        <w:rPr>
          <w:rFonts w:ascii="Century Gothic" w:hAnsi="Century Gothic" w:cs="Calibri" w:cstheme="minorHAnsi"/>
          <w:b/>
          <w:b/>
        </w:rPr>
      </w:pPr>
      <w:r>
        <w:rPr>
          <w:rFonts w:cs="Calibri" w:ascii="Century Gothic" w:hAnsi="Century Gothic" w:cstheme="minorHAnsi"/>
          <w:b/>
        </w:rPr>
        <w:t xml:space="preserve">Пункты 2, 3, 10, 11  Административного регламента по 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      </w:t>
      </w:r>
    </w:p>
    <w:p>
      <w:pPr>
        <w:pStyle w:val="Normal"/>
        <w:spacing w:lineRule="auto" w:line="276"/>
        <w:ind w:left="0" w:firstLine="567"/>
        <w:jc w:val="center"/>
        <w:rPr>
          <w:rFonts w:ascii="Century Gothic" w:hAnsi="Century Gothic" w:cs="Calibri" w:cstheme="minorHAnsi"/>
          <w:b/>
          <w:b/>
          <w:bCs/>
          <w:u w:val="single"/>
        </w:rPr>
      </w:pPr>
      <w:r>
        <w:rPr>
          <w:rFonts w:cs="Calibri" w:ascii="Century Gothic" w:hAnsi="Century Gothic" w:cstheme="minorHAnsi"/>
          <w:b/>
          <w:bCs/>
          <w:u w:val="single"/>
        </w:rPr>
        <w:t>КРУГ ЗАЯВИТЕЛЕЙ:</w:t>
      </w:r>
    </w:p>
    <w:p>
      <w:pPr>
        <w:pStyle w:val="Normal"/>
        <w:spacing w:lineRule="auto" w:line="276"/>
        <w:ind w:left="0" w:firstLine="567"/>
        <w:jc w:val="center"/>
        <w:rPr>
          <w:rFonts w:ascii="Century Gothic" w:hAnsi="Century Gothic" w:cs="Calibri" w:cstheme="minorHAnsi"/>
          <w:b/>
          <w:b/>
          <w:bCs/>
          <w:u w:val="single"/>
        </w:rPr>
      </w:pPr>
      <w:r>
        <w:rPr>
          <w:rFonts w:cs="Calibri" w:cstheme="minorHAnsi" w:ascii="Century Gothic" w:hAnsi="Century Gothic"/>
          <w:b/>
          <w:bCs/>
          <w:u w:val="single"/>
        </w:rPr>
      </w:r>
    </w:p>
    <w:p>
      <w:pPr>
        <w:pStyle w:val="Normal"/>
        <w:spacing w:lineRule="auto" w:line="276"/>
        <w:ind w:left="0" w:firstLine="567"/>
        <w:jc w:val="both"/>
        <w:rPr>
          <w:rFonts w:ascii="Century Gothic" w:hAnsi="Century Gothic" w:cs="Calibri" w:cstheme="minorHAnsi"/>
          <w:b/>
          <w:b/>
          <w:bCs/>
        </w:rPr>
      </w:pPr>
      <w:r>
        <w:rPr>
          <w:rFonts w:cs="Calibri" w:ascii="Century Gothic" w:hAnsi="Century Gothic" w:cstheme="minorHAnsi"/>
          <w:b/>
          <w:bCs/>
        </w:rPr>
        <w:t xml:space="preserve">Государственная услуга предоставляется застрахованным лицам,                       указанным в статье 7 Федерального закона от 15 декабря 2001 г. № 167-ФЗ                                  «Об обязательном пенсионном страховании в Российской Федерации», и лицам, признаваемым таковыми в соответствии с абзацем третьим статьи 1 Федерального закона от  1 апреля 1996 г. № 27-ФЗ  «Об индивидуальном (персонифицированном) учете в системе обязательного пенсионного страхования». </w:t>
      </w:r>
    </w:p>
    <w:p>
      <w:pPr>
        <w:pStyle w:val="Normal"/>
        <w:spacing w:lineRule="auto" w:line="276"/>
        <w:ind w:left="0" w:firstLine="567"/>
        <w:jc w:val="both"/>
        <w:rPr>
          <w:rFonts w:ascii="Century Gothic" w:hAnsi="Century Gothic" w:cs="Calibri" w:cstheme="minorHAnsi"/>
          <w:b/>
          <w:b/>
          <w:bCs/>
        </w:rPr>
      </w:pPr>
      <w:r>
        <w:rPr>
          <w:rFonts w:cs="Calibri" w:ascii="Century Gothic" w:hAnsi="Century Gothic" w:cstheme="minorHAnsi"/>
          <w:b/>
          <w:bCs/>
        </w:rPr>
        <w:t>Застрахованное лицо может воспользоваться государственной услугой через своего законного или уполномоченного представителя.</w:t>
      </w:r>
    </w:p>
    <w:p>
      <w:pPr>
        <w:pStyle w:val="Normal"/>
        <w:spacing w:lineRule="auto" w:line="276"/>
        <w:ind w:left="0" w:firstLine="567"/>
        <w:jc w:val="both"/>
        <w:rPr>
          <w:rFonts w:ascii="Century Gothic" w:hAnsi="Century Gothic" w:cs="Calibri" w:cstheme="minorHAnsi"/>
          <w:b/>
          <w:b/>
          <w:bCs/>
        </w:rPr>
      </w:pPr>
      <w:r>
        <w:rPr>
          <w:rFonts w:cs="Calibri" w:ascii="Century Gothic" w:hAnsi="Century Gothic" w:cstheme="minorHAnsi"/>
          <w:b/>
          <w:bCs/>
        </w:rPr>
        <w:t xml:space="preserve">При этом личное участие застрахованного лица в правоотношениях по получению государственной услуги не лишает его права иметь представителя, равно как и участие представителя не лишает застрахованное лицо права на личное участие в указанных правоотношениях. </w:t>
      </w:r>
    </w:p>
    <w:p>
      <w:pPr>
        <w:pStyle w:val="Normal"/>
        <w:spacing w:lineRule="auto" w:line="276"/>
        <w:ind w:left="0" w:firstLine="567"/>
        <w:jc w:val="center"/>
        <w:rPr>
          <w:rFonts w:ascii="Century Gothic" w:hAnsi="Century Gothic" w:cs="Calibri" w:cstheme="minorHAnsi"/>
          <w:b/>
          <w:b/>
          <w:bCs/>
          <w:u w:val="single"/>
        </w:rPr>
      </w:pPr>
      <w:r>
        <w:rPr>
          <w:rFonts w:cs="Calibri" w:ascii="Century Gothic" w:hAnsi="Century Gothic" w:cstheme="minorHAnsi"/>
          <w:b/>
          <w:bCs/>
          <w:u w:val="single"/>
        </w:rPr>
        <w:t>ГОСУДАРСТВЕННУЮ  УСЛУГУ  ПРЕДСТАВЛЯЮТ:</w:t>
      </w:r>
    </w:p>
    <w:p>
      <w:pPr>
        <w:pStyle w:val="Normal"/>
        <w:spacing w:lineRule="auto" w:line="276"/>
        <w:ind w:left="0" w:firstLine="567"/>
        <w:jc w:val="center"/>
        <w:rPr>
          <w:rFonts w:ascii="Century Gothic" w:hAnsi="Century Gothic" w:cs="Calibri" w:cstheme="minorHAnsi"/>
          <w:b/>
          <w:b/>
          <w:bCs/>
          <w:u w:val="single"/>
        </w:rPr>
      </w:pPr>
      <w:r>
        <w:rPr>
          <w:rFonts w:cs="Calibri" w:cstheme="minorHAnsi" w:ascii="Century Gothic" w:hAnsi="Century Gothic"/>
          <w:b/>
          <w:bCs/>
          <w:u w:val="single"/>
        </w:rPr>
      </w:r>
    </w:p>
    <w:p>
      <w:pPr>
        <w:pStyle w:val="Normal"/>
        <w:spacing w:lineRule="auto" w:line="276"/>
        <w:ind w:left="0" w:firstLine="567"/>
        <w:rPr>
          <w:rFonts w:ascii="Century Gothic" w:hAnsi="Century Gothic" w:cs="Calibri" w:cstheme="minorHAnsi"/>
          <w:b/>
          <w:b/>
        </w:rPr>
      </w:pPr>
      <w:r>
        <w:rPr>
          <w:rFonts w:cs="Calibri" w:ascii="Century Gothic" w:hAnsi="Century Gothic" w:cstheme="minorHAnsi"/>
          <w:b/>
          <w:bCs/>
        </w:rPr>
        <w:t>Государственную услугу предоставляет ПФР через свои территориальные органы.</w:t>
      </w:r>
    </w:p>
    <w:p>
      <w:pPr>
        <w:pStyle w:val="Normal"/>
        <w:spacing w:lineRule="auto" w:line="276"/>
        <w:ind w:left="0" w:firstLine="567"/>
        <w:jc w:val="both"/>
        <w:rPr>
          <w:rFonts w:ascii="Century Gothic" w:hAnsi="Century Gothic" w:cs="Calibri" w:cstheme="minorHAnsi"/>
          <w:b/>
          <w:b/>
          <w:bCs/>
        </w:rPr>
      </w:pPr>
      <w:r>
        <w:rPr>
          <w:rFonts w:cs="Calibri" w:ascii="Century Gothic" w:hAnsi="Century Gothic" w:cstheme="minorHAnsi"/>
          <w:b/>
          <w:bCs/>
        </w:rPr>
        <w:t>Территориальные органы ПФР при предоставлении государственной услуги при предоставлении государственной услуги не вправе требовать от застрахованного лица осуществления действий, в том числе согласований, необходимых для                                       получения государственных и муниципальных услуг и связанных с                     обращением в иные государственные органы, органы местного  самоуправления, организации.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</w:rPr>
      </w:pPr>
      <w:r>
        <w:rPr>
          <w:rFonts w:cs="Calibri" w:cstheme="minorHAnsi" w:ascii="Century Gothic" w:hAnsi="Century Gothic"/>
          <w:b/>
          <w:bCs/>
        </w:rPr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</w:rPr>
      </w:pPr>
      <w:r>
        <w:rPr>
          <w:rFonts w:cs="Calibri" w:cstheme="minorHAnsi" w:ascii="Century Gothic" w:hAnsi="Century Gothic"/>
          <w:b/>
          <w:bCs/>
        </w:rPr>
      </w:r>
    </w:p>
    <w:p>
      <w:pPr>
        <w:pStyle w:val="Normal"/>
        <w:spacing w:lineRule="auto" w:line="360"/>
        <w:ind w:left="0" w:firstLine="567"/>
        <w:jc w:val="both"/>
        <w:rPr>
          <w:rFonts w:ascii="Century Gothic" w:hAnsi="Century Gothic" w:cs="Calibri"/>
          <w:b/>
          <w:b/>
          <w:bCs/>
          <w:color w:val="6699FF"/>
          <w:sz w:val="20"/>
          <w:szCs w:val="20"/>
        </w:rPr>
      </w:pPr>
      <w:r>
        <w:rPr>
          <w:rFonts w:cs="Calibri" w:ascii="Century Gothic" w:hAnsi="Century Gothic"/>
          <w:b/>
          <w:bCs/>
          <w:color w:val="6699FF"/>
          <w:sz w:val="20"/>
          <w:szCs w:val="20"/>
        </w:rPr>
        <w:tab/>
        <w:tab/>
        <w:tab/>
      </w:r>
      <w:r>
        <w:rPr>
          <w:rFonts w:cs="Calibri" w:ascii="Century Gothic" w:hAnsi="Century Gothic"/>
          <w:b/>
          <w:bCs/>
          <w:color w:val="6699FF"/>
          <w:sz w:val="18"/>
          <w:szCs w:val="18"/>
        </w:rPr>
        <w:t xml:space="preserve">    Узнайте больше на сайте</w:t>
      </w:r>
      <w:r>
        <w:rPr>
          <w:rFonts w:cs="Calibri" w:ascii="Century Gothic" w:hAnsi="Century Gothic"/>
          <w:b/>
          <w:bCs/>
          <w:color w:val="6699FF"/>
          <w:sz w:val="20"/>
          <w:szCs w:val="20"/>
        </w:rPr>
        <w:t xml:space="preserve"> </w:t>
      </w:r>
      <w:r>
        <w:rPr>
          <w:rFonts w:cs="Calibri" w:ascii="Century Gothic" w:hAnsi="Century Gothic"/>
          <w:b/>
          <w:bCs/>
          <w:color w:val="6699FF"/>
          <w:sz w:val="20"/>
          <w:szCs w:val="20"/>
          <w:lang w:val="en-US"/>
        </w:rPr>
        <w:t>www</w:t>
      </w:r>
      <w:r>
        <w:rPr>
          <w:rFonts w:cs="Calibri" w:ascii="Century Gothic" w:hAnsi="Century Gothic"/>
          <w:b/>
          <w:bCs/>
          <w:color w:val="6699FF"/>
          <w:sz w:val="20"/>
          <w:szCs w:val="20"/>
        </w:rPr>
        <w:t>.</w:t>
      </w:r>
      <w:r>
        <w:rPr>
          <w:rFonts w:cs="Calibri" w:ascii="Century Gothic" w:hAnsi="Century Gothic"/>
          <w:b/>
          <w:bCs/>
          <w:color w:val="6699FF"/>
          <w:sz w:val="20"/>
          <w:szCs w:val="20"/>
          <w:lang w:val="en-US"/>
        </w:rPr>
        <w:t>pfrf</w:t>
      </w:r>
      <w:r>
        <w:rPr>
          <w:rFonts w:cs="Calibri" w:ascii="Century Gothic" w:hAnsi="Century Gothic"/>
          <w:b/>
          <w:bCs/>
          <w:color w:val="6699FF"/>
          <w:sz w:val="20"/>
          <w:szCs w:val="20"/>
        </w:rPr>
        <w:t>.</w:t>
      </w:r>
      <w:r>
        <w:rPr>
          <w:rFonts w:cs="Calibri" w:ascii="Century Gothic" w:hAnsi="Century Gothic"/>
          <w:b/>
          <w:bCs/>
          <w:color w:val="6699FF"/>
          <w:sz w:val="20"/>
          <w:szCs w:val="20"/>
          <w:lang w:val="en-US"/>
        </w:rPr>
        <w:t>ru</w:t>
      </w:r>
    </w:p>
    <w:p>
      <w:pPr>
        <w:pStyle w:val="Normal"/>
        <w:spacing w:lineRule="exact" w:line="14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exact" w:line="14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exact" w:line="14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-965835</wp:posOffset>
            </wp:positionH>
            <wp:positionV relativeFrom="paragraph">
              <wp:posOffset>15240</wp:posOffset>
            </wp:positionV>
            <wp:extent cx="7343775" cy="361950"/>
            <wp:effectExtent l="0" t="0" r="0" b="0"/>
            <wp:wrapNone/>
            <wp:docPr id="2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0" w:hanging="0"/>
        <w:jc w:val="center"/>
        <w:rPr>
          <w:rFonts w:ascii="Century Gothic" w:hAnsi="Century Gothic" w:eastAsia="Gabriola" w:cs="Calibri" w:cstheme="minorHAnsi"/>
          <w:b/>
          <w:b/>
          <w:bCs/>
          <w:color w:val="FFFFFF"/>
          <w:sz w:val="40"/>
          <w:szCs w:val="40"/>
        </w:rPr>
      </w:pPr>
      <w:r>
        <w:drawing>
          <wp:anchor behindDoc="1" distT="0" distB="0" distL="114300" distR="114300" simplePos="0" locked="0" layoutInCell="1" allowOverlap="1" relativeHeight="7">
            <wp:simplePos x="0" y="0"/>
            <wp:positionH relativeFrom="page">
              <wp:posOffset>66675</wp:posOffset>
            </wp:positionH>
            <wp:positionV relativeFrom="page">
              <wp:posOffset>123825</wp:posOffset>
            </wp:positionV>
            <wp:extent cx="7343775" cy="3848100"/>
            <wp:effectExtent l="0" t="0" r="0" b="0"/>
            <wp:wrapNone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briola" w:cs="Calibri" w:ascii="Century Gothic" w:hAnsi="Century Gothic" w:cstheme="minorHAnsi"/>
          <w:b/>
          <w:bCs/>
          <w:color w:val="FFFFFF"/>
          <w:sz w:val="40"/>
          <w:szCs w:val="40"/>
        </w:rPr>
        <w:t>Г</w:t>
      </w:r>
      <w:r>
        <w:rPr>
          <w:rFonts w:eastAsia="Gabriola" w:cs="Calibri" w:ascii="Century Gothic" w:hAnsi="Century Gothic" w:cstheme="minorHAnsi"/>
          <w:b/>
          <w:bCs/>
          <w:color w:val="FFFFFF"/>
          <w:sz w:val="40"/>
          <w:szCs w:val="40"/>
        </w:rPr>
        <w:t xml:space="preserve">ОСУДАРСТВЕННАЯ УСЛУГА </w:t>
      </w:r>
    </w:p>
    <w:p>
      <w:pPr>
        <w:pStyle w:val="Normal"/>
        <w:ind w:right="20" w:hanging="0"/>
        <w:jc w:val="center"/>
        <w:rPr>
          <w:rFonts w:ascii="Century Gothic" w:hAnsi="Century Gothic"/>
          <w:sz w:val="40"/>
          <w:szCs w:val="40"/>
        </w:rPr>
      </w:pPr>
      <w:r>
        <w:rPr>
          <w:rFonts w:eastAsia="Gabriola" w:cs="Calibri" w:ascii="Century Gothic" w:hAnsi="Century Gothic" w:cstheme="minorHAnsi"/>
          <w:b/>
          <w:bCs/>
          <w:color w:val="FFFFFF"/>
          <w:sz w:val="40"/>
          <w:szCs w:val="40"/>
        </w:rPr>
        <w:t>ПЕНСИОННОГО ФОНДА РФ</w:t>
      </w:r>
    </w:p>
    <w:p>
      <w:pPr>
        <w:pStyle w:val="Normal"/>
        <w:spacing w:lineRule="exact" w:line="14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  <w:drawing>
          <wp:anchor behindDoc="1" distT="0" distB="0" distL="114300" distR="114300" simplePos="0" locked="0" layoutInCell="1" allowOverlap="1" relativeHeight="4">
            <wp:simplePos x="0" y="0"/>
            <wp:positionH relativeFrom="page">
              <wp:posOffset>114300</wp:posOffset>
            </wp:positionH>
            <wp:positionV relativeFrom="page">
              <wp:posOffset>123825</wp:posOffset>
            </wp:positionV>
            <wp:extent cx="7343775" cy="3848100"/>
            <wp:effectExtent l="0" t="0" r="0" b="0"/>
            <wp:wrapNone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4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sz w:val="20"/>
          <w:szCs w:val="20"/>
        </w:rPr>
      </w:pPr>
      <w:r>
        <w:rPr>
          <w:rFonts w:cs="Calibri" w:ascii="Century Gothic" w:hAnsi="Century Gothic" w:cstheme="minorHAnsi"/>
          <w:b/>
          <w:sz w:val="20"/>
          <w:szCs w:val="20"/>
        </w:rPr>
        <w:t xml:space="preserve">Пункт 13 Административного регламента по 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 </w:t>
      </w:r>
    </w:p>
    <w:p>
      <w:pPr>
        <w:pStyle w:val="Normal"/>
        <w:spacing w:lineRule="auto" w:line="276"/>
        <w:ind w:left="0" w:firstLine="567"/>
        <w:jc w:val="center"/>
        <w:rPr>
          <w:rFonts w:ascii="Century Gothic" w:hAnsi="Century Gothic" w:cs="Calibri" w:cstheme="minorHAnsi"/>
          <w:b/>
          <w:b/>
          <w:bCs/>
          <w:sz w:val="20"/>
          <w:szCs w:val="20"/>
          <w:u w:val="single"/>
        </w:rPr>
      </w:pPr>
      <w:r>
        <w:rPr>
          <w:rFonts w:cs="Calibri" w:ascii="Century Gothic" w:hAnsi="Century Gothic" w:cstheme="minorHAnsi"/>
          <w:b/>
          <w:bCs/>
          <w:sz w:val="20"/>
          <w:szCs w:val="20"/>
          <w:u w:val="single"/>
        </w:rPr>
        <w:t>СРОК И ПОРЯДОК ПРИЕМА И РЕГИСТРАЦИИ ЗАЯВЛЕНИЯ,</w:t>
      </w:r>
    </w:p>
    <w:p>
      <w:pPr>
        <w:pStyle w:val="Normal"/>
        <w:ind w:left="0" w:firstLine="567"/>
        <w:jc w:val="center"/>
        <w:rPr>
          <w:rFonts w:ascii="Century Gothic" w:hAnsi="Century Gothic" w:cs="Calibri" w:cstheme="minorHAnsi"/>
          <w:b/>
          <w:b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  <w:u w:val="single"/>
        </w:rPr>
        <w:t>В ТОМ  ЧИСЛЕ В ЭЛЕКТРОННОЙ ФОРМЕ: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Государственная услуга предоставляется застрахованному лицу в  срок, не превышающий 10 дней со дня получения территориальным органом ПФР запроса.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При направлении застрахованным лицом запроса в электронном виде, поданного с использованием сети «Интернет», включая Единый портал, или через сайт ПФР с использованием «Личного кабинета застрахованного лица», сведения о состоянии ИЛС представляются застрахованному лицу в режиме реального времени в день обращения.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sz w:val="20"/>
          <w:szCs w:val="20"/>
        </w:rPr>
      </w:pPr>
      <w:r>
        <w:rPr>
          <w:rFonts w:cs="Calibri" w:cstheme="minorHAnsi" w:ascii="Century Gothic" w:hAnsi="Century Gothic"/>
          <w:b/>
          <w:sz w:val="20"/>
          <w:szCs w:val="20"/>
        </w:rPr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sz w:val="20"/>
          <w:szCs w:val="20"/>
        </w:rPr>
      </w:pPr>
      <w:r>
        <w:rPr>
          <w:rFonts w:cs="Calibri" w:ascii="Century Gothic" w:hAnsi="Century Gothic" w:cstheme="minorHAnsi"/>
          <w:b/>
          <w:sz w:val="20"/>
          <w:szCs w:val="20"/>
        </w:rPr>
        <w:t xml:space="preserve">Пункты 15,16, 17, 18, 19  Административного регламента по 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      </w:t>
      </w:r>
    </w:p>
    <w:p>
      <w:pPr>
        <w:pStyle w:val="Normal"/>
        <w:ind w:left="0" w:firstLine="567"/>
        <w:jc w:val="center"/>
        <w:rPr>
          <w:rFonts w:ascii="Century Gothic" w:hAnsi="Century Gothic" w:cs="Calibri" w:cstheme="minorHAnsi"/>
          <w:b/>
          <w:b/>
          <w:bCs/>
          <w:sz w:val="20"/>
          <w:szCs w:val="20"/>
          <w:u w:val="single"/>
        </w:rPr>
      </w:pPr>
      <w:r>
        <w:rPr>
          <w:rFonts w:cs="Calibri" w:cstheme="minorHAnsi" w:ascii="Century Gothic" w:hAnsi="Century Gothic"/>
          <w:b/>
          <w:bCs/>
          <w:sz w:val="20"/>
          <w:szCs w:val="20"/>
          <w:u w:val="single"/>
        </w:rPr>
      </w:r>
    </w:p>
    <w:p>
      <w:pPr>
        <w:pStyle w:val="Normal"/>
        <w:ind w:left="0" w:firstLine="567"/>
        <w:jc w:val="center"/>
        <w:rPr>
          <w:rFonts w:ascii="Century Gothic" w:hAnsi="Century Gothic" w:cs="Calibri" w:cstheme="minorHAnsi"/>
          <w:b/>
          <w:b/>
          <w:bCs/>
          <w:sz w:val="20"/>
          <w:szCs w:val="20"/>
          <w:u w:val="single"/>
        </w:rPr>
      </w:pPr>
      <w:r>
        <w:rPr>
          <w:rFonts w:cs="Calibri" w:ascii="Century Gothic" w:hAnsi="Century Gothic" w:cstheme="minorHAnsi"/>
          <w:b/>
          <w:bCs/>
          <w:sz w:val="20"/>
          <w:szCs w:val="20"/>
          <w:u w:val="single"/>
        </w:rPr>
        <w:t>ПЕРЕЧЕНЬ  ДОКУМЕНТОВ  ДЛЯ  ПРЕДОСТАВЛЕНИЯ ГОСУДАРСТВЕННОЙ  УСЛУГИ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Для предоставления государственной услуги застрахованным лицом представляются следующие документы: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запрос, предусмотренный приложением к настоящему Административному регламенту;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документ, удостоверяющий личность застрахованного лица.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К запросу, поданному от имени застрахованного лица его законным представителем, представляются следующие документы: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документ, удостоверяющий личность застрахованного лица, чьи интересы представляются;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 xml:space="preserve">документы, удостоверяющие полномочия законного представителя; 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документы, удостоверяющие личность законного представителя.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В случае если за государственной услугой обращаются организации, на которые в соответствии со статьей 35 Гражданского кодекса Российской Федерации возложено исполнение обязанностей опекунов или попечителей, - документы, удостоверяющие              личность и полномочия представителя организации.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В случае представления интересов застрахованного лица лицом в силу полномочия, основанного на доверенности, дополнительно к документам, предусмотренным пунктом 15 Административного регламента, необходимы доверенность и документ, удостоверяющий личность представителя. В случае если доверенность удостоверена нотариально, документа, удостоверяющего личность застрахованного лица, интересы которого представляются, не требуется.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В случае направления застрахованным лицом запроса посредством почтовой связи к нему прилагаются копии документов, указанных в пункте 15 Административного регламента, заверенные в порядке, установленном законодательством Российской Федерации.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Для получения сведений о состоянии ИЛС через «Личный кабинет застрахованного лица» на сайте ПФР застрахованное лицо направляет запрос посредством информационной системы «Личный кабинет застрахованного лица» на сайте ПФР.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i/>
          <w:i/>
          <w:iCs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sz w:val="20"/>
          <w:szCs w:val="20"/>
        </w:rPr>
        <w:t>Для получения сведений о состоянии ИЛС через Единый портал застрахованное лицо направляет запрос посредством Единого портала с указанием необходимых сведений из документов, указанных при регистрации на Едином портале.</w:t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bCs/>
          <w:i/>
          <w:i/>
          <w:iCs/>
        </w:rPr>
      </w:pPr>
      <w:r>
        <w:rPr>
          <w:rFonts w:cs="Calibri" w:cstheme="minorHAnsi" w:ascii="Century Gothic" w:hAnsi="Century Gothic"/>
          <w:b/>
          <w:bCs/>
          <w:i/>
          <w:iCs/>
        </w:rPr>
      </w:r>
    </w:p>
    <w:p>
      <w:pPr>
        <w:pStyle w:val="Normal"/>
        <w:ind w:left="0" w:firstLine="567"/>
        <w:jc w:val="both"/>
        <w:rPr>
          <w:rFonts w:ascii="Century Gothic" w:hAnsi="Century Gothic" w:cs="Calibri" w:cstheme="minorHAnsi"/>
          <w:b/>
          <w:b/>
          <w:sz w:val="20"/>
          <w:szCs w:val="20"/>
        </w:rPr>
      </w:pPr>
      <w:r>
        <w:rPr>
          <w:rFonts w:cs="Calibri" w:ascii="Century Gothic" w:hAnsi="Century Gothic" w:cstheme="minorHAnsi"/>
          <w:b/>
          <w:bCs/>
          <w:i/>
          <w:iCs/>
          <w:sz w:val="20"/>
          <w:szCs w:val="20"/>
        </w:rPr>
        <w:t>Консультацию по вопросу предоставления государственной услуги по приему от граждан анкет в целях регистрации в системе обязательного пенсионного страхования, в том числе по приему от застрахованных лиц заявлений об обмене или о выдаче дубликата страхового свидетельства можно получить по телефонам _____________ ____________________________, либо лично в каб _______ ежедневно, кроме субботы и воскресенья с 8-00 до 17-00</w:t>
      </w:r>
    </w:p>
    <w:p>
      <w:pPr>
        <w:pStyle w:val="Normal"/>
        <w:spacing w:lineRule="exact" w:line="141"/>
        <w:rPr>
          <w:rFonts w:ascii="Century Gothic" w:hAnsi="Century Gothic" w:cs="Calibri"/>
          <w:b/>
          <w:b/>
          <w:bCs/>
          <w:color w:val="6699FF"/>
          <w:sz w:val="18"/>
          <w:szCs w:val="18"/>
        </w:rPr>
      </w:pPr>
      <w:r>
        <w:rPr>
          <w:rFonts w:cs="Calibri" w:ascii="Century Gothic" w:hAnsi="Century Gothic"/>
          <w:b/>
          <w:bCs/>
          <w:color w:val="6699FF"/>
          <w:sz w:val="18"/>
          <w:szCs w:val="18"/>
        </w:rPr>
      </w:r>
    </w:p>
    <w:p>
      <w:pPr>
        <w:pStyle w:val="Normal"/>
        <w:spacing w:lineRule="exact" w:line="141"/>
        <w:rPr>
          <w:rFonts w:ascii="Century Gothic" w:hAnsi="Century Gothic" w:eastAsia="Gabriola" w:cs="Calibri" w:cstheme="minorHAnsi"/>
          <w:b/>
          <w:b/>
          <w:bCs/>
          <w:color w:val="FFFFFF"/>
          <w:sz w:val="40"/>
          <w:szCs w:val="40"/>
        </w:rPr>
      </w:pPr>
      <w:r>
        <w:rPr>
          <w:rFonts w:cs="Calibri" w:ascii="Century Gothic" w:hAnsi="Century Gothic"/>
          <w:b/>
          <w:bCs/>
          <w:color w:val="6699FF"/>
          <w:sz w:val="18"/>
          <w:szCs w:val="18"/>
        </w:rPr>
        <w:t>Узнайте больше на сайте</w:t>
      </w:r>
      <w:r>
        <w:rPr>
          <w:rFonts w:cs="Calibri" w:ascii="Century Gothic" w:hAnsi="Century Gothic"/>
          <w:b/>
          <w:bCs/>
          <w:color w:val="6699FF"/>
          <w:sz w:val="20"/>
          <w:szCs w:val="20"/>
        </w:rPr>
        <w:t xml:space="preserve"> </w:t>
      </w:r>
      <w:r>
        <w:rPr>
          <w:rFonts w:cs="Calibri" w:ascii="Century Gothic" w:hAnsi="Century Gothic"/>
          <w:b/>
          <w:bCs/>
          <w:color w:val="6699FF"/>
          <w:sz w:val="20"/>
          <w:szCs w:val="20"/>
          <w:lang w:val="en-US"/>
        </w:rPr>
        <w:t>www</w:t>
      </w:r>
      <w:r>
        <w:rPr>
          <w:rFonts w:cs="Calibri" w:ascii="Century Gothic" w:hAnsi="Century Gothic"/>
          <w:b/>
          <w:bCs/>
          <w:color w:val="6699FF"/>
          <w:sz w:val="20"/>
          <w:szCs w:val="20"/>
        </w:rPr>
        <w:t>.</w:t>
      </w:r>
      <w:r>
        <w:rPr>
          <w:rFonts w:cs="Calibri" w:ascii="Century Gothic" w:hAnsi="Century Gothic"/>
          <w:b/>
          <w:bCs/>
          <w:color w:val="6699FF"/>
          <w:sz w:val="20"/>
          <w:szCs w:val="20"/>
          <w:lang w:val="en-US"/>
        </w:rPr>
        <w:t>pfrf</w:t>
      </w:r>
      <w:r>
        <w:rPr>
          <w:rFonts w:cs="Calibri" w:ascii="Century Gothic" w:hAnsi="Century Gothic"/>
          <w:b/>
          <w:bCs/>
          <w:color w:val="6699FF"/>
          <w:sz w:val="20"/>
          <w:szCs w:val="20"/>
        </w:rPr>
        <w:t>.</w:t>
      </w:r>
      <w:r>
        <w:rPr>
          <w:rFonts w:cs="Calibri" w:ascii="Century Gothic" w:hAnsi="Century Gothic"/>
          <w:b/>
          <w:bCs/>
          <w:color w:val="6699FF"/>
          <w:sz w:val="20"/>
          <w:szCs w:val="20"/>
          <w:lang w:val="en-US"/>
        </w:rPr>
        <w:t>ru</w:t>
      </w:r>
      <w:r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-965835</wp:posOffset>
            </wp:positionH>
            <wp:positionV relativeFrom="paragraph">
              <wp:posOffset>9373870</wp:posOffset>
            </wp:positionV>
            <wp:extent cx="7343775" cy="361950"/>
            <wp:effectExtent l="0" t="0" r="0" b="0"/>
            <wp:wrapNone/>
            <wp:docPr id="5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briola" w:cs="Calibri" w:ascii="Century Gothic" w:hAnsi="Century Gothic" w:cstheme="minorHAnsi"/>
          <w:b/>
          <w:bCs/>
          <w:color w:val="FFFFFF"/>
          <w:sz w:val="40"/>
          <w:szCs w:val="40"/>
        </w:rPr>
        <w:t>Л</w:t>
      </w:r>
      <w:r>
        <w:rPr>
          <w:rFonts w:eastAsia="Gabriola" w:cs="Calibri" w:ascii="Century Gothic" w:hAnsi="Century Gothic" w:cstheme="minorHAnsi"/>
          <w:b/>
          <w:bCs/>
          <w:color w:val="FFFFFF"/>
          <w:sz w:val="40"/>
          <w:szCs w:val="40"/>
        </w:rPr>
        <w:t xml:space="preserve">УГА </w:t>
      </w:r>
    </w:p>
    <w:p>
      <w:pPr>
        <w:pStyle w:val="Normal"/>
        <w:spacing w:lineRule="exact" w:line="141"/>
        <w:rPr/>
      </w:pPr>
      <w:r>
        <w:rPr/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-965835</wp:posOffset>
            </wp:positionH>
            <wp:positionV relativeFrom="paragraph">
              <wp:posOffset>219710</wp:posOffset>
            </wp:positionV>
            <wp:extent cx="7343775" cy="361950"/>
            <wp:effectExtent l="0" t="0" r="0" b="0"/>
            <wp:wrapNone/>
            <wp:docPr id="6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424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ab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17ab2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d650b1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17ab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7d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e2d5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F5B70-9AD1-4594-AF53-AE0D9942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2019-06-26T11:36:00Z</dcterms:created>
  <dc:creator>Анна Данильчук</dc:creator>
  <dc:language>ru-RU</dc:language>
  <cp:lastModifiedBy>044StetsyukMV</cp:lastModifiedBy>
  <cp:lastPrinted>2019-06-27T05:01:00Z</cp:lastPrinted>
  <dcterms:modified xsi:type="dcterms:W3CDTF">2019-06-27T05:02:00Z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