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right"/>
        <w:pStyle w:val="0"/>
        <w:rPr>
          <w:rFonts w:hAnsi="Arial" w:ascii="Arial"/>
          <w:sz w:val="20"/>
        </w:rPr>
      </w:pPr>
      <w:r>
        <w:rPr>
          <w:rFonts w:hAnsi="Arial" w:ascii="Arial"/>
          <w:sz w:val="28"/>
          <w:b w:val="1"/>
        </w:rPr>
        <w:drawing>
          <wp:inline>
            <wp:extent cy="9229090" cx="5940425"/>
            <wp:docPr id="1" name="pic1"/>
            <a:graphic>
              <a:graphicData uri="http://schemas.openxmlformats.org/drawingml/2006/picture">
                <pic:pic>
                  <pic:nvPicPr>
                    <pic:cNvPr id="1" name="pic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y="0" x="0"/>
                      <a:ext cy="9229090" cx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rFonts w:hAnsi="Arial" w:ascii="Arial"/>
          <w:sz w:val="20"/>
        </w:rPr>
        <w:t xml:space="preserve">Приложение </w:t>
      </w:r>
    </w:p>
    <w:p>
      <w:pPr>
        <w:jc w:val="right"/>
        <w:pStyle w:val="0"/>
        <w:rPr>
          <w:rFonts w:hAnsi="Arial" w:ascii="Arial"/>
          <w:sz w:val="20"/>
        </w:rPr>
      </w:pPr>
      <w:r>
        <w:rPr>
          <w:rFonts w:hAnsi="Arial" w:ascii="Arial"/>
          <w:sz w:val="20"/>
        </w:rPr>
        <w:t xml:space="preserve">к постановлению главы </w:t>
      </w:r>
    </w:p>
    <w:p>
      <w:pPr>
        <w:jc w:val="right"/>
        <w:pStyle w:val="0"/>
        <w:rPr>
          <w:rFonts w:hAnsi="Arial" w:ascii="Arial"/>
          <w:sz w:val="20"/>
        </w:rPr>
      </w:pPr>
      <w:r>
        <w:rPr>
          <w:rFonts w:hAnsi="Arial" w:ascii="Arial"/>
          <w:sz w:val="20"/>
        </w:rPr>
        <w:t xml:space="preserve">Солонцовского сельского поселения</w:t>
      </w:r>
    </w:p>
    <w:p>
      <w:pPr>
        <w:jc w:val="center"/>
        <w:pStyle w:val="0"/>
        <w:shd w:fill="ffffff"/>
        <w:rPr>
          <w:rFonts w:hAnsi="Arial" w:ascii="Arial"/>
          <w:sz w:val="20"/>
        </w:rPr>
      </w:pPr>
      <w:r>
        <w:rPr>
          <w:rFonts w:hAnsi="Arial" w:ascii="Arial"/>
          <w:sz w:val="20"/>
        </w:rPr>
        <w:t xml:space="preserve">                                                                                                                                  от 13.11.2018 г. № 77</w:t>
      </w:r>
    </w:p>
    <w:p>
      <w:pPr>
        <w:jc w:val="right"/>
        <w:pStyle w:val="0"/>
        <w:shd w:fill="ffffff"/>
        <w:rPr>
          <w:rFonts w:hAnsi="Arial" w:ascii="Arial"/>
          <w:sz w:val="20"/>
        </w:rPr>
      </w:pPr>
      <w:r>
        <w:rPr>
          <w:rFonts w:hAnsi="Arial" w:ascii="Arial"/>
          <w:sz w:val="20"/>
        </w:rPr>
        <w:t xml:space="preserve">изменение от 04.07.2019г. № 32</w:t>
      </w:r>
    </w:p>
    <w:p>
      <w:pPr>
        <w:jc w:val="center"/>
        <w:pStyle w:val="0"/>
        <w:shd w:fill="ffffff"/>
        <w:rPr>
          <w:rFonts w:hAnsi="Arial" w:ascii="Arial"/>
          <w:b w:val="1"/>
          <w:color w:val="000000"/>
        </w:rPr>
      </w:pPr>
      <w:r>
        <w:rPr>
          <w:rFonts w:hAnsi="Arial" w:ascii="Arial"/>
          <w:b w:val="1"/>
          <w:color w:val="000000"/>
        </w:rPr>
        <w:t xml:space="preserve">Паспорт программы</w:t>
      </w:r>
    </w:p>
    <w:p>
      <w:pPr>
        <w:jc w:val="center"/>
        <w:pStyle w:val="0"/>
        <w:rPr>
          <w:rFonts w:hAnsi="Arial" w:ascii="Arial"/>
          <w:b w:val="1"/>
        </w:rPr>
      </w:pPr>
      <w:r>
        <w:rPr>
          <w:rFonts w:hAnsi="Arial" w:ascii="Arial"/>
          <w:b w:val="1"/>
        </w:rPr>
        <w:t xml:space="preserve">«Обеспечение населения Солонцовского сельского поселения</w:t>
      </w:r>
    </w:p>
    <w:p>
      <w:pPr>
        <w:jc w:val="center"/>
        <w:pStyle w:val="0"/>
        <w:rPr>
          <w:rFonts w:hAnsi="Arial" w:ascii="Arial"/>
          <w:color w:val="000000"/>
        </w:rPr>
      </w:pPr>
      <w:r>
        <w:rPr>
          <w:rFonts w:hAnsi="Arial" w:ascii="Arial"/>
          <w:b w:val="1"/>
        </w:rPr>
        <w:t xml:space="preserve">питьевой водой на 2019 год» </w:t>
      </w:r>
      <w:r>
        <w:rPr>
          <w:rFonts w:hAnsi="Arial" w:ascii="Arial"/>
          <w:color w:val="000000"/>
        </w:rPr>
        <w:t> </w:t>
      </w:r>
    </w:p>
    <w:p>
      <w:pPr>
        <w:jc w:val="center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> </w:t>
      </w:r>
    </w:p>
    <w:tbl>
      <w:tblPr>
        <w:tblBorders>
          <w:right w:sz="4" w:val="single"/>
          <w:insideV w:sz="4" w:val="single"/>
          <w:bottom w:sz="4" w:val="single"/>
          <w:top w:sz="4" w:val="single"/>
          <w:insideH w:sz="4" w:val="single"/>
          <w:left w:sz="4" w:val="single"/>
        </w:tblBorders>
        <w:tblCellMar>
          <w:left w:type="dxa" w:w="0"/>
          <w:right w:type="dxa" w:w="0"/>
          <w:top w:type="dxa" w:w="0"/>
          <w:bottom w:type="dxa" w:w="0"/>
        </w:tblCellMar>
        <w:tblLayout w:type="autofit"/>
        <w:tblInd w:type="dxa" w:w="-108"/>
      </w:tblPr>
      <w:tblGrid>
        <w:gridCol w:w="3648"/>
        <w:gridCol w:w="5926"/>
      </w:tblGrid>
      <w:tr>
        <w:trPr>
          <w:tblCellMar/>
          <w:trHeight w:val="856" w:hRule="atLeast"/>
        </w:trPr>
        <w:tblPrEx>
          <w:tblCellMar/>
        </w:tblPrEx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3652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Наименование программы</w:t>
            </w:r>
          </w:p>
        </w:tc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5954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«Обеспечение населения  Солонцовского  сельского поселения   питьевой водой на 2019 год» далее - Программа)</w:t>
            </w:r>
          </w:p>
        </w:tc>
      </w:tr>
      <w:tr>
        <w:trPr>
          <w:tblCellMar/>
          <w:trHeight w:val="309" w:hRule="atLeast"/>
        </w:trPr>
        <w:tblPrEx>
          <w:tblCellMar/>
        </w:tblPrEx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3652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Государственный заказчик</w:t>
            </w:r>
          </w:p>
        </w:tc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5954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Администрация Солонцовского сельского поселения</w:t>
            </w:r>
          </w:p>
        </w:tc>
      </w:tr>
      <w:tr>
        <w:trPr>
          <w:tblCellMar/>
          <w:trHeight w:val="555" w:hRule="atLeast"/>
        </w:trPr>
        <w:tblPrEx>
          <w:tblCellMar/>
        </w:tblPrEx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3652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Основные разработчики программы</w:t>
            </w:r>
          </w:p>
        </w:tc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5954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Администрация Солонцовского сельского поселения</w:t>
            </w:r>
          </w:p>
        </w:tc>
      </w:tr>
      <w:tr>
        <w:trPr>
          <w:tblCellMar/>
          <w:trHeight w:val="307" w:hRule="atLeast"/>
        </w:trPr>
        <w:tblPrEx>
          <w:tblCellMar/>
        </w:tblPrEx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3652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Исполнители программы</w:t>
            </w:r>
          </w:p>
        </w:tc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5954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Администрация Солонцовского сельского поселения</w:t>
            </w:r>
          </w:p>
        </w:tc>
      </w:tr>
      <w:tr>
        <w:trPr>
          <w:tblCellMar/>
          <w:trHeight w:val="662" w:hRule="atLeast"/>
        </w:trPr>
        <w:tblPrEx>
          <w:tblCellMar/>
        </w:tblPrEx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3652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Цели и задачи программы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b w:val="1"/>
                <w:color w:val="000000"/>
              </w:rPr>
              <w:t> </w:t>
            </w:r>
          </w:p>
        </w:tc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5954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 Цели: 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     - улучшение обеспечения населения питьевой водой нормативного качества и в достаточном количестве; 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     -   улучшение на этой основе состояния здоровья населения поселения; 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     - восстановление, охрана и рациональное использование источников питьевого водоснабжения.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Задачи программы:</w:t>
            </w:r>
          </w:p>
          <w:p>
            <w:pPr>
              <w:ind w:firstLine="317"/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– сохранение имеющегося потенциала мощности систем водоснабжения;</w:t>
            </w:r>
          </w:p>
          <w:p>
            <w:pPr>
              <w:ind w:firstLine="317"/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– предотвращение загрязнения источников питьевого водоснабжения;</w:t>
            </w:r>
          </w:p>
          <w:p>
            <w:pPr>
              <w:ind w:firstLine="317"/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– повышение эффективности и надежности функционирования систем водоснабжения за счет реализации водоохранных, технических и санитарных мероприятий; </w:t>
            </w:r>
          </w:p>
        </w:tc>
      </w:tr>
      <w:tr>
        <w:trPr>
          <w:tblCellMar/>
          <w:trHeight w:val="554" w:hRule="atLeast"/>
        </w:trPr>
        <w:tblPrEx>
          <w:tblCellMar/>
        </w:tblPrEx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3652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Сроки и этапы реализации программы</w:t>
            </w:r>
          </w:p>
        </w:tc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5954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2019 год.</w:t>
            </w:r>
          </w:p>
        </w:tc>
      </w:tr>
      <w:tr>
        <w:trPr>
          <w:tblCellMar/>
          <w:trHeight w:val="278" w:hRule="atLeast"/>
        </w:trPr>
        <w:tblPrEx>
          <w:tblCellMar/>
        </w:tblPrEx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3652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Перечень основных программных мероприятий</w:t>
            </w:r>
          </w:p>
        </w:tc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5954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-  работа для улучшения качества водоснабжения населения поселения; 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</w:p>
        </w:tc>
      </w:tr>
      <w:tr>
        <w:trPr>
          <w:tblCellMar/>
          <w:trHeight w:val="80" w:hRule="atLeast"/>
        </w:trPr>
        <w:tblPrEx>
          <w:tblCellMar/>
        </w:tblPrEx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3652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Объемы и источники финансирования</w:t>
            </w:r>
          </w:p>
        </w:tc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5954"/>
          </w:tcPr>
          <w:p>
            <w:pPr>
              <w:jc w:val="both"/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Потребность в финансировании программы составляет 393,0 тыс. рублей. Источниками средств являются: </w:t>
            </w:r>
          </w:p>
          <w:p>
            <w:pPr>
              <w:jc w:val="both"/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     - бюджет сельского поселения – 393,0 тыс.рублей</w:t>
            </w:r>
          </w:p>
          <w:p>
            <w:pPr>
              <w:jc w:val="both"/>
              <w:pStyle w:val="0"/>
              <w:rPr>
                <w:rFonts w:hAnsi="Arial" w:ascii="Arial"/>
                <w:sz w:val="22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в том числе: 2019 г. –  393,0 тыс. рублей</w:t>
            </w:r>
          </w:p>
          <w:p>
            <w:pPr>
              <w:ind w:firstLine="317"/>
              <w:pStyle w:val="0"/>
              <w:rPr>
                <w:rFonts w:hAnsi="Arial" w:ascii="Arial"/>
                <w:sz w:val="22"/>
                <w:color w:val="000000"/>
              </w:rPr>
            </w:pPr>
          </w:p>
        </w:tc>
      </w:tr>
      <w:tr>
        <w:trPr>
          <w:tblCellMar/>
          <w:trHeight w:val="853" w:hRule="atLeast"/>
        </w:trPr>
        <w:tblPrEx>
          <w:tblCellMar/>
        </w:tblPrEx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3652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Важнейшие целевые индикаторы и показатели</w:t>
            </w:r>
          </w:p>
        </w:tc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5954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В ходе реализации программы будет проведены следующие мероприятия: 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- оплата электроэнергии, лабораторно-производственный контроль качества воды, ремонт скважины, приобретение расходных материалов для обустройства Зоны санитарной охраны в том числе: 2019 г. –    393,0 тыс. рублей;            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 (Код классификации расходов 0502 0400140050 244) </w:t>
            </w:r>
          </w:p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</w:p>
        </w:tc>
      </w:tr>
      <w:tr>
        <w:trPr>
          <w:tblCellMar/>
          <w:trHeight w:val="172" w:hRule="atLeast"/>
        </w:trPr>
        <w:tblPrEx>
          <w:tblCellMar/>
        </w:tblPrEx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3652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Mar>
              <w:left w:type="dxa" w:w="108"/>
              <w:right w:type="dxa" w:w="108"/>
              <w:top w:type="dxa" w:w="0"/>
              <w:bottom w:type="dxa" w:w="0"/>
            </w:tcMar>
            <w:tcW w:type="dxa" w:w="5954"/>
          </w:tcPr>
          <w:p>
            <w:pPr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     В результате выполнения программы будет обеспечено: </w:t>
            </w:r>
          </w:p>
          <w:p>
            <w:pPr>
              <w:ind w:firstLine="317"/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- водоснабжение населения в пределах существующих нормативов; </w:t>
            </w:r>
          </w:p>
          <w:p>
            <w:pPr>
              <w:ind w:firstLine="317"/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- улучшение качества питьевой воды; </w:t>
            </w:r>
          </w:p>
          <w:p>
            <w:pPr>
              <w:ind w:firstLine="317"/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- сокращение потерь воды; </w:t>
            </w:r>
          </w:p>
          <w:p>
            <w:pPr>
              <w:ind w:firstLine="317"/>
              <w:pStyle w:val="0"/>
              <w:rPr>
                <w:rFonts w:hAnsi="Arial" w:ascii="Arial"/>
                <w:sz w:val="22"/>
                <w:color w:val="000000"/>
              </w:rPr>
            </w:pPr>
            <w:r>
              <w:rPr>
                <w:rFonts w:hAnsi="Arial" w:ascii="Arial"/>
                <w:sz w:val="22"/>
                <w:color w:val="000000"/>
              </w:rPr>
              <w:t xml:space="preserve">- поддержание оптимальных условий водопользования, качества поверхностных и подземных вод в состоянии, отвечающем санитарным и экологическим требованиям.</w:t>
            </w:r>
          </w:p>
        </w:tc>
      </w:tr>
    </w:tbl>
    <w:p>
      <w:pPr>
        <w:pStyle w:val="0"/>
        <w:shd w:fill="ffffff"/>
        <w:rPr>
          <w:rFonts w:hAnsi="Arial" w:ascii="Arial"/>
          <w:b w:val="1"/>
          <w:color w:val="000000"/>
        </w:rPr>
      </w:pPr>
    </w:p>
    <w:p>
      <w:pPr>
        <w:pStyle w:val="0"/>
        <w:shd w:fill="ffffff"/>
        <w:rPr>
          <w:rFonts w:hAnsi="Arial" w:ascii="Arial"/>
          <w:b w:val="1"/>
          <w:color w:val="000000"/>
        </w:rPr>
      </w:pPr>
    </w:p>
    <w:p>
      <w:pPr>
        <w:jc w:val="center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b w:val="1"/>
          <w:color w:val="000000"/>
        </w:rPr>
        <w:t xml:space="preserve">1. Характеристика проблемы</w:t>
      </w:r>
    </w:p>
    <w:p>
      <w:pPr>
        <w:jc w:val="center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b w:val="1"/>
          <w:color w:val="000000"/>
        </w:rPr>
        <w:t> 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Основным источником питьевого водоснабжения Солонцовского сельского поселения  являются подземные воды. 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На территории сельского поселения имеются 2 водозаборные скважины.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В обеспечении жителей сельского поселения качественной питьевой водой основными проблемами являются: 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создание и обеспечение режима в пределах ЗСО санитарная охрана от загрязнения источника водоснабжения, а также территории, на которой он расположен. 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</w:p>
    <w:p>
      <w:pPr>
        <w:jc w:val="center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b w:val="1"/>
          <w:color w:val="000000"/>
        </w:rPr>
        <w:t xml:space="preserve">2. Основные цели и задачи программы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b w:val="1"/>
          <w:color w:val="000000"/>
        </w:rPr>
        <w:t> 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Основными целями программы являются улучшение обеспечения населения питьевой водой нормативного качества и в достаточном количестве, повышение степени очистки питьевой воды, улучшение на этой основе состояния здоровья населения сельского поселения; восстановление, охрана и рациональное использование источников питьевого водоснабжения.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Для достижения этих целей программой предусматривается решение следующих задач: 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- обустройство зон санитарной охраны на действующих водозаборах;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- повышение эффективности и надежности функционирования систем водоснабжения за счет реализации водоохранных, технологических и санитарных мероприятий. 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</w:p>
    <w:p>
      <w:pPr>
        <w:jc w:val="center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b w:val="1"/>
          <w:color w:val="000000"/>
        </w:rPr>
        <w:t xml:space="preserve">3. Ресурсное обеспечение программы</w:t>
      </w:r>
    </w:p>
    <w:p>
      <w:pPr>
        <w:jc w:val="center"/>
        <w:ind w:firstLine="540"/>
        <w:pStyle w:val="0"/>
        <w:shd w:fill="ffffff"/>
        <w:rPr>
          <w:rFonts w:hAnsi="Arial" w:ascii="Arial"/>
          <w:color w:val="000000"/>
        </w:rPr>
      </w:pP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При разработке ресурсного обеспечения программы учитывалась реальная возможность её решения. Общая потребность в финансовых ресурсах на реализацию программных мероприятий на 2019 г. составляет 393,0 тыс. рублей.  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 Определен источник финансирования для решения проблемы водоснабжения: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- бюджет сельского поселения.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 В рамках программы предусматривается финансирование программных мероприятий за счет следующих источников: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- средства местных бюджетов;</w:t>
      </w:r>
    </w:p>
    <w:p>
      <w:pPr>
        <w:ind w:firstLine="317"/>
        <w:pStyle w:val="0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Финансирование программы составит 393,0 тыс. рублей. Источниками средств являются: </w:t>
      </w:r>
    </w:p>
    <w:p>
      <w:pPr>
        <w:ind w:firstLine="317"/>
        <w:pStyle w:val="0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     - бюджет сельского поселения – 393,0 тыс. рублей</w:t>
      </w:r>
    </w:p>
    <w:p>
      <w:pPr>
        <w:jc w:val="both"/>
        <w:pStyle w:val="0"/>
        <w:rPr>
          <w:rFonts w:hAnsi="Arial" w:ascii="Arial"/>
        </w:rPr>
      </w:pPr>
      <w:r>
        <w:rPr>
          <w:rFonts w:hAnsi="Arial" w:ascii="Arial"/>
          <w:color w:val="000000"/>
        </w:rPr>
        <w:t xml:space="preserve">в том числе: 2019 г. –  393,0 тыс. рублей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> 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</w:p>
    <w:p>
      <w:pPr>
        <w:jc w:val="center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b w:val="1"/>
          <w:color w:val="000000"/>
        </w:rPr>
        <w:t xml:space="preserve">4. Механизм реализации программы</w:t>
      </w:r>
    </w:p>
    <w:p>
      <w:pPr>
        <w:jc w:val="center"/>
        <w:ind w:firstLine="540"/>
        <w:pStyle w:val="0"/>
        <w:shd w:fill="ffffff"/>
        <w:rPr>
          <w:rFonts w:hAnsi="Arial" w:ascii="Arial"/>
          <w:color w:val="000000"/>
        </w:rPr>
      </w:pP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Реализация мероприятий программы предусматривает применение комплекса экономических, организационных и нормативно-правовых мер. 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Финансовое обеспечение программы осуществляется за счёт средств муниципального бюджета.     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Муниципальный заказчик программы осуществляет: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- общее руководство и управление реализацией программы; 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- координацию и контроль за деятельностью юридических лиц, связанных с реализацией программы, в части исполнения ими положений программы.</w:t>
      </w: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</w:p>
    <w:p>
      <w:pPr>
        <w:jc w:val="both"/>
        <w:ind w:firstLine="540"/>
        <w:pStyle w:val="0"/>
        <w:shd w:fill="ffffff"/>
        <w:rPr>
          <w:rFonts w:hAnsi="Arial" w:ascii="Arial"/>
          <w:color w:val="000000"/>
        </w:rPr>
      </w:pPr>
      <w:r>
        <w:rPr>
          <w:rFonts w:hAnsi="Arial" w:ascii="Arial"/>
          <w:color w:val="000000"/>
        </w:rPr>
        <w:t xml:space="preserve">Объемы финансирования программы и перечень объектов будут уточняться ежегодно, в пределах финансовых возможностей местного бюджета на реализацию программы.</w:t>
      </w:r>
    </w:p>
    <w:p>
      <w:pPr>
        <w:jc w:val="center"/>
        <w:ind w:firstLine="720"/>
        <w:pStyle w:val="0"/>
        <w:rPr>
          <w:rFonts w:hAnsi="Arial" w:ascii="Arial"/>
          <w:color w:val="000000"/>
        </w:rPr>
      </w:pPr>
    </w:p>
    <w:p>
      <w:pPr>
        <w:jc w:val="center"/>
        <w:pStyle w:val="0"/>
        <w:rPr>
          <w:rFonts w:hAnsi="Arial" w:ascii="Arial"/>
          <w:b w:val="1"/>
        </w:rPr>
      </w:pPr>
      <w:r>
        <w:rPr>
          <w:rFonts w:hAnsi="Arial" w:ascii="Arial"/>
          <w:b w:val="1"/>
        </w:rPr>
        <w:t xml:space="preserve">5. Контроль за исполнением Программы</w:t>
      </w:r>
    </w:p>
    <w:p>
      <w:pPr>
        <w:pStyle w:val="0"/>
        <w:rPr>
          <w:rFonts w:hAnsi="Arial" w:ascii="Arial"/>
          <w:b w:val="1"/>
        </w:rPr>
      </w:pPr>
    </w:p>
    <w:p>
      <w:pPr>
        <w:jc w:val="both"/>
        <w:pStyle w:val="0"/>
        <w:rPr>
          <w:rFonts w:hAnsi="Arial" w:ascii="Arial"/>
        </w:rPr>
      </w:pPr>
      <w:r>
        <w:rPr>
          <w:rFonts w:hAnsi="Arial" w:ascii="Arial"/>
        </w:rPr>
        <w:t xml:space="preserve">          Контроль за исполнением Программы осуществляет администрация Солонцовского сельского поселения.</w:t>
      </w:r>
    </w:p>
    <w:p>
      <w:pPr>
        <w:jc w:val="both"/>
        <w:pStyle w:val="0"/>
        <w:rPr>
          <w:rFonts w:hAnsi="Arial" w:ascii="Arial"/>
        </w:rPr>
      </w:pPr>
    </w:p>
    <w:p>
      <w:pPr>
        <w:jc w:val="both"/>
        <w:pStyle w:val="0"/>
        <w:rPr>
          <w:rFonts w:hAnsi="Arial" w:ascii="Arial"/>
        </w:rPr>
      </w:pPr>
      <w:r>
        <w:rPr>
          <w:rFonts w:hAnsi="Arial" w:ascii="Arial"/>
        </w:rPr>
        <w:t>______________________________________________________________________</w:t>
      </w:r>
    </w:p>
    <w:sectPr>
      <w:pgSz w:w="11909" w:h="16834"/>
      <w:pgMar w:top="1134" w:bottom="1134" w:left="1701" w:right="850"/>
      <w:docGrid w:linePitch="326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2">
    <w:lvl w:ilvl="0">
      <w:numFmt w:val="decimal"/>
      <w:lvlText w:val="%1."/>
      <w:start w:val="1"/>
      <w:pPr>
        <w:ind w:left="360" w:hanging="360"/>
      </w:pPr>
      <w:rPr>
        <w:b w:val="0"/>
      </w:rPr>
    </w:lvl>
    <w:lvl w:ilvl="1">
      <w:numFmt w:val="decimal"/>
      <w:lvlText w:val="%1.%2."/>
      <w:start w:val="8"/>
      <w:pPr>
        <w:ind w:left="360" w:hanging="360"/>
      </w:pPr>
    </w:lvl>
    <w:lvl w:ilvl="2">
      <w:numFmt w:val="decimal"/>
      <w:lvlText w:val="%1.%2.%3."/>
      <w:start w:val="1"/>
      <w:pPr>
        <w:ind w:left="720" w:hanging="720"/>
      </w:pPr>
    </w:lvl>
    <w:lvl w:ilvl="3">
      <w:numFmt w:val="decimal"/>
      <w:lvlText w:val="%1.%2.%3.%4."/>
      <w:start w:val="1"/>
      <w:pPr>
        <w:ind w:left="720" w:hanging="720"/>
      </w:pPr>
    </w:lvl>
    <w:lvl w:ilvl="4">
      <w:numFmt w:val="decimal"/>
      <w:lvlText w:val="%1.%2.%3.%4.%5."/>
      <w:start w:val="1"/>
      <w:pPr>
        <w:ind w:left="1080" w:hanging="1080"/>
      </w:pPr>
    </w:lvl>
    <w:lvl w:ilvl="5">
      <w:numFmt w:val="decimal"/>
      <w:lvlText w:val="%1.%2.%3.%4.%5.%6."/>
      <w:start w:val="1"/>
      <w:pPr>
        <w:ind w:left="1080" w:hanging="1080"/>
      </w:pPr>
    </w:lvl>
    <w:lvl w:ilvl="6">
      <w:numFmt w:val="decimal"/>
      <w:lvlText w:val="%1.%2.%3.%4.%5.%6.%7."/>
      <w:start w:val="1"/>
      <w:pPr>
        <w:ind w:left="1440" w:hanging="1440"/>
      </w:pPr>
    </w:lvl>
    <w:lvl w:ilvl="7">
      <w:numFmt w:val="decimal"/>
      <w:lvlText w:val="%1.%2.%3.%4.%5.%6.%7.%8."/>
      <w:start w:val="1"/>
      <w:pPr>
        <w:ind w:left="1440" w:hanging="1440"/>
      </w:pPr>
    </w:lvl>
    <w:lvl w:ilvl="8">
      <w:numFmt w:val="decimal"/>
      <w:lvlText w:val="%1.%2.%3.%4.%5.%6.%7.%8.%9."/>
      <w:start w:val="1"/>
      <w:pPr>
        <w:ind w:left="1800" w:hanging="1800"/>
      </w:pPr>
    </w:lvl>
  </w:abstractNum>
  <w:abstractNum w:abstractNumId="3">
    <w:lvl w:ilvl="0">
      <w:numFmt w:val="decimal"/>
      <w:lvlText w:val="%1."/>
      <w:start w:val="1"/>
      <w:pPr>
        <w:ind w:left="795" w:hanging="555"/>
      </w:pPr>
    </w:lvl>
    <w:lvl w:ilvl="1">
      <w:numFmt w:val="decimal"/>
      <w:lvlText w:val="%2."/>
      <w:start w:val="1"/>
      <w:pPr>
        <w:ind w:left="1320" w:hanging="360"/>
      </w:pPr>
    </w:lvl>
    <w:lvl w:ilvl="2">
      <w:numFmt w:val="decimal"/>
      <w:lvlText w:val="%3."/>
      <w:start w:val="1"/>
      <w:pPr>
        <w:ind w:left="2040" w:hanging="180"/>
      </w:pPr>
    </w:lvl>
    <w:lvl w:ilvl="3">
      <w:numFmt w:val="decimal"/>
      <w:lvlText w:val="%4."/>
      <w:start w:val="1"/>
      <w:pPr>
        <w:ind w:left="2760" w:hanging="360"/>
      </w:pPr>
    </w:lvl>
    <w:lvl w:ilvl="4">
      <w:numFmt w:val="decimal"/>
      <w:lvlText w:val="%5."/>
      <w:start w:val="1"/>
      <w:pPr>
        <w:ind w:left="3480" w:hanging="360"/>
      </w:pPr>
    </w:lvl>
    <w:lvl w:ilvl="5">
      <w:numFmt w:val="decimal"/>
      <w:lvlText w:val="%6."/>
      <w:start w:val="1"/>
      <w:pPr>
        <w:ind w:left="4200" w:hanging="180"/>
      </w:pPr>
    </w:lvl>
    <w:lvl w:ilvl="6">
      <w:numFmt w:val="decimal"/>
      <w:lvlText w:val="%7."/>
      <w:start w:val="1"/>
      <w:pPr>
        <w:ind w:left="4920" w:hanging="360"/>
      </w:pPr>
    </w:lvl>
    <w:lvl w:ilvl="7">
      <w:numFmt w:val="decimal"/>
      <w:lvlText w:val="%8."/>
      <w:start w:val="1"/>
      <w:pPr>
        <w:ind w:left="5640" w:hanging="360"/>
      </w:pPr>
    </w:lvl>
    <w:lvl w:ilvl="8">
      <w:numFmt w:val="decimal"/>
      <w:lvlText w:val="%9."/>
      <w:start w:val="1"/>
      <w:pPr>
        <w:ind w:left="6360" w:hanging="180"/>
      </w:pPr>
    </w:lvl>
  </w:abstractNum>
  <w:abstractNum w:abstractNumId="4">
    <w:lvl w:ilvl="0">
      <w:numFmt w:val="decimal"/>
      <w:lvlText w:val="%1."/>
      <w:start w:val="1"/>
      <w:pPr>
        <w:ind w:left="1251" w:hanging="825"/>
      </w:pPr>
    </w:lvl>
    <w:lvl w:ilvl="1">
      <w:numFmt w:val="decimal"/>
      <w:lvlText w:val="%2."/>
      <w:start w:val="1"/>
      <w:pPr>
        <w:ind w:left="1620" w:hanging="360"/>
      </w:pPr>
    </w:lvl>
    <w:lvl w:ilvl="2">
      <w:numFmt w:val="decimal"/>
      <w:lvlText w:val="%3."/>
      <w:start w:val="1"/>
      <w:pPr>
        <w:ind w:left="2340" w:hanging="180"/>
      </w:pPr>
    </w:lvl>
    <w:lvl w:ilvl="3">
      <w:numFmt w:val="decimal"/>
      <w:lvlText w:val="%4."/>
      <w:start w:val="1"/>
      <w:pPr>
        <w:ind w:left="3060" w:hanging="360"/>
      </w:pPr>
    </w:lvl>
    <w:lvl w:ilvl="4">
      <w:numFmt w:val="decimal"/>
      <w:lvlText w:val="%5."/>
      <w:start w:val="1"/>
      <w:pPr>
        <w:ind w:left="3780" w:hanging="360"/>
      </w:pPr>
    </w:lvl>
    <w:lvl w:ilvl="5">
      <w:numFmt w:val="decimal"/>
      <w:lvlText w:val="%6."/>
      <w:start w:val="1"/>
      <w:pPr>
        <w:ind w:left="4500" w:hanging="180"/>
      </w:pPr>
    </w:lvl>
    <w:lvl w:ilvl="6">
      <w:numFmt w:val="decimal"/>
      <w:lvlText w:val="%7."/>
      <w:start w:val="1"/>
      <w:pPr>
        <w:ind w:left="5220" w:hanging="360"/>
      </w:pPr>
    </w:lvl>
    <w:lvl w:ilvl="7">
      <w:numFmt w:val="decimal"/>
      <w:lvlText w:val="%8."/>
      <w:start w:val="1"/>
      <w:pPr>
        <w:ind w:left="5940" w:hanging="360"/>
      </w:pPr>
    </w:lvl>
    <w:lvl w:ilvl="8">
      <w:numFmt w:val="decimal"/>
      <w:lvlText w:val="%9."/>
      <w:start w:val="1"/>
      <w:pPr>
        <w:ind w:left="6660" w:hanging="180"/>
      </w:pPr>
    </w:lvl>
  </w:abstractNum>
  <w:abstractNum w:abstractNumId="5">
    <w:lvl w:ilvl="0">
      <w:numFmt w:val="decimal"/>
      <w:lvlText w:val="%1."/>
      <w:start w:val="1"/>
      <w:pPr>
        <w:ind w:left="930" w:hanging="57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abstractNum w:abstractNumId="6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7">
    <w:lvl w:ilvl="0">
      <w:numFmt w:val="decimal"/>
      <w:lvlText w:val="%1."/>
      <w:start w:val="1"/>
      <w:pPr>
        <w:ind w:left="6598" w:hanging="360"/>
      </w:pPr>
    </w:lvl>
    <w:lvl w:ilvl="1">
      <w:numFmt w:val="decimal"/>
      <w:lvlText w:val="%1.%2."/>
      <w:start w:val="1"/>
      <w:pPr>
        <w:ind w:left="3990" w:hanging="360"/>
      </w:pPr>
    </w:lvl>
    <w:lvl w:ilvl="2">
      <w:numFmt w:val="decimal"/>
      <w:lvlText w:val="%1.%2.%3."/>
      <w:start w:val="1"/>
      <w:pPr>
        <w:ind w:left="4350" w:hanging="720"/>
      </w:pPr>
    </w:lvl>
    <w:lvl w:ilvl="3">
      <w:numFmt w:val="decimal"/>
      <w:lvlText w:val="%1.%2.%3.%4."/>
      <w:start w:val="1"/>
      <w:pPr>
        <w:ind w:left="4350" w:hanging="720"/>
      </w:pPr>
    </w:lvl>
    <w:lvl w:ilvl="4">
      <w:numFmt w:val="decimal"/>
      <w:lvlText w:val="%1.%2.%3.%4.%5."/>
      <w:start w:val="1"/>
      <w:pPr>
        <w:ind w:left="4710" w:hanging="1080"/>
      </w:pPr>
    </w:lvl>
    <w:lvl w:ilvl="5">
      <w:numFmt w:val="decimal"/>
      <w:lvlText w:val="%1.%2.%3.%4.%5.%6."/>
      <w:start w:val="1"/>
      <w:pPr>
        <w:ind w:left="4710" w:hanging="1080"/>
      </w:pPr>
    </w:lvl>
    <w:lvl w:ilvl="6">
      <w:numFmt w:val="decimal"/>
      <w:lvlText w:val="%1.%2.%3.%4.%5.%6.%7."/>
      <w:start w:val="1"/>
      <w:pPr>
        <w:ind w:left="5070" w:hanging="1440"/>
      </w:pPr>
    </w:lvl>
    <w:lvl w:ilvl="7">
      <w:numFmt w:val="decimal"/>
      <w:lvlText w:val="%1.%2.%3.%4.%5.%6.%7.%8."/>
      <w:start w:val="1"/>
      <w:pPr>
        <w:ind w:left="5070" w:hanging="1440"/>
      </w:pPr>
    </w:lvl>
    <w:lvl w:ilvl="8">
      <w:numFmt w:val="decimal"/>
      <w:lvlText w:val="%1.%2.%3.%4.%5.%6.%7.%8.%9."/>
      <w:start w:val="1"/>
      <w:pPr>
        <w:ind w:left="5430" w:hanging="1800"/>
      </w:pPr>
    </w:lvl>
  </w:abstractNum>
  <w:abstractNum w:abstractNumId="8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9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0">
    <w:lvl w:ilvl="0">
      <w:numFmt w:val="decimal"/>
      <w:lvlText w:val="%1."/>
      <w:start w:val="1"/>
      <w:pPr>
        <w:ind w:left="-1588" w:hanging="340"/>
      </w:pPr>
    </w:lvl>
    <w:lvl w:ilvl="1">
      <w:numFmt w:val="decimal"/>
      <w:lvlText w:val="%2."/>
      <w:start w:val="1"/>
      <w:pPr>
        <w:ind w:left="-2595" w:hanging="360"/>
      </w:pPr>
    </w:lvl>
    <w:lvl w:ilvl="2">
      <w:numFmt w:val="decimal"/>
      <w:lvlText w:val="%3."/>
      <w:start w:val="1"/>
      <w:pPr>
        <w:ind w:left="-1875" w:hanging="180"/>
      </w:pPr>
    </w:lvl>
    <w:lvl w:ilvl="3">
      <w:numFmt w:val="decimal"/>
      <w:lvlText w:val="%4."/>
      <w:start w:val="1"/>
      <w:pPr>
        <w:ind w:left="-1155" w:hanging="360"/>
      </w:pPr>
    </w:lvl>
    <w:lvl w:ilvl="4">
      <w:numFmt w:val="decimal"/>
      <w:lvlText w:val="%5."/>
      <w:start w:val="1"/>
      <w:pPr>
        <w:ind w:left="-435" w:hanging="360"/>
      </w:pPr>
    </w:lvl>
    <w:lvl w:ilvl="5">
      <w:numFmt w:val="decimal"/>
      <w:lvlText w:val="%6."/>
      <w:start w:val="1"/>
      <w:pPr>
        <w:ind w:left="285" w:hanging="180"/>
      </w:pPr>
    </w:lvl>
    <w:lvl w:ilvl="6">
      <w:numFmt w:val="decimal"/>
      <w:lvlText w:val="%7."/>
      <w:start w:val="1"/>
      <w:pPr>
        <w:ind w:left="1005" w:hanging="360"/>
      </w:pPr>
    </w:lvl>
    <w:lvl w:ilvl="7">
      <w:numFmt w:val="decimal"/>
      <w:lvlText w:val="%8."/>
      <w:start w:val="1"/>
      <w:pPr>
        <w:ind w:left="1725" w:hanging="360"/>
      </w:pPr>
    </w:lvl>
    <w:lvl w:ilvl="8">
      <w:numFmt w:val="decimal"/>
      <w:lvlText w:val="%9."/>
      <w:start w:val="1"/>
      <w:pPr>
        <w:ind w:left="2445" w:hanging="180"/>
      </w:pPr>
    </w:lvl>
  </w:abstractNum>
  <w:abstractNum w:abstractNumId="11">
    <w:lvl w:ilvl="0">
      <w:numFmt w:val="bullet"/>
      <w:lvlText w:val="-"/>
      <w:start w:val="0"/>
      <w:pPr>
        <w:ind w:left="0" w:firstLine="0"/>
      </w:pPr>
      <w:rPr>
        <w:rFonts w:hAnsi="Times New Roman" w:ascii="Times New Roman"/>
      </w:rPr>
    </w:lvl>
  </w:abstractNum>
  <w:abstractNum w:abstractNumId="12">
    <w:lvl w:ilvl="0">
      <w:numFmt w:val="bullet"/>
      <w:lvlText w:val="-"/>
      <w:start w:val="0"/>
      <w:pPr>
        <w:ind w:left="0" w:firstLine="0"/>
      </w:pPr>
      <w:rPr>
        <w:rFonts w:hAnsi="Times New Roman" w:ascii="Times New Roman"/>
      </w:rPr>
    </w:lvl>
  </w:abstractNum>
  <w:abstractNum w:abstractNumId="13">
    <w:lvl w:ilvl="0">
      <w:numFmt w:val="bullet"/>
      <w:lvlText w:val="-"/>
      <w:start w:val="0"/>
      <w:pPr>
        <w:ind w:left="0" w:firstLine="0"/>
      </w:pPr>
      <w:rPr>
        <w:rFonts w:hAnsi="Times New Roman" w:ascii="Times New Roman"/>
      </w:rPr>
    </w:lvl>
  </w:abstractNum>
  <w:abstractNum w:abstractNumId="14">
    <w:lvl w:ilvl="0">
      <w:numFmt w:val="bullet"/>
      <w:lvlText w:val="-"/>
      <w:start w:val="0"/>
      <w:pPr>
        <w:ind w:left="0" w:firstLine="0"/>
      </w:pPr>
      <w:rPr>
        <w:rFonts w:hAnsi="Times New Roman" w:ascii="Times New Roman"/>
      </w:rPr>
    </w:lvl>
  </w:abstractNum>
  <w:abstractNum w:abstractNumId="15">
    <w:lvl w:ilvl="0">
      <w:numFmt w:val="bullet"/>
      <w:lvlText w:val="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"/>
      <w:start w:val="1"/>
      <w:pPr>
        <w:ind w:left="1080" w:hanging="360"/>
      </w:pPr>
      <w:rPr>
        <w:rFonts w:hAnsi="Symbol" w:ascii="Symbol"/>
      </w:rPr>
    </w:lvl>
    <w:lvl w:ilvl="2">
      <w:numFmt w:val="bullet"/>
      <w:lvlText w:val=""/>
      <w:start w:val="1"/>
      <w:pPr>
        <w:ind w:left="1440" w:hanging="360"/>
      </w:pPr>
      <w:rPr>
        <w:rFonts w:hAnsi="Symbol" w:ascii="Symbol"/>
      </w:rPr>
    </w:lvl>
    <w:lvl w:ilvl="3">
      <w:numFmt w:val="bullet"/>
      <w:lvlText w:val=""/>
      <w:start w:val="1"/>
      <w:pPr>
        <w:ind w:left="1800" w:hanging="360"/>
      </w:pPr>
      <w:rPr>
        <w:rFonts w:hAnsi="Symbol" w:ascii="Symbol"/>
      </w:rPr>
    </w:lvl>
    <w:lvl w:ilvl="4">
      <w:numFmt w:val="bullet"/>
      <w:lvlText w:val=""/>
      <w:start w:val="1"/>
      <w:pPr>
        <w:ind w:left="2160" w:hanging="360"/>
      </w:pPr>
      <w:rPr>
        <w:rFonts w:hAnsi="Symbol" w:ascii="Symbol"/>
      </w:rPr>
    </w:lvl>
    <w:lvl w:ilvl="5">
      <w:numFmt w:val="bullet"/>
      <w:lvlText w:val=""/>
      <w:start w:val="1"/>
      <w:pPr>
        <w:ind w:left="2520" w:hanging="360"/>
      </w:pPr>
      <w:rPr>
        <w:rFonts w:hAnsi="Symbol" w:ascii="Symbol"/>
      </w:rPr>
    </w:lvl>
    <w:lvl w:ilvl="6">
      <w:numFmt w:val="bullet"/>
      <w:lvlText w:val=""/>
      <w:start w:val="1"/>
      <w:pPr>
        <w:ind w:left="2880" w:hanging="360"/>
      </w:pPr>
      <w:rPr>
        <w:rFonts w:hAnsi="Symbol" w:ascii="Symbol"/>
      </w:rPr>
    </w:lvl>
    <w:lvl w:ilvl="7">
      <w:numFmt w:val="bullet"/>
      <w:lvlText w:val=""/>
      <w:start w:val="1"/>
      <w:pPr>
        <w:ind w:left="3240" w:hanging="360"/>
      </w:pPr>
      <w:rPr>
        <w:rFonts w:hAnsi="Symbol" w:ascii="Symbol"/>
      </w:rPr>
    </w:lvl>
    <w:lvl w:ilvl="8">
      <w:numFmt w:val="bullet"/>
      <w:lvlText w:val=""/>
      <w:start w:val="1"/>
      <w:pPr>
        <w:ind w:left="3600" w:hanging="360"/>
      </w:pPr>
      <w:rPr>
        <w:rFonts w:hAnsi="Symbol" w:ascii="Symbol"/>
      </w:rPr>
    </w:lvl>
  </w:abstractNum>
  <w:abstractNum w:abstractNumId="16">
    <w:lvl w:ilvl="0">
      <w:numFmt w:val="decimal"/>
      <w:lvlText w:val="%1."/>
      <w:start w:val="9"/>
      <w:pPr>
        <w:ind w:left="0" w:firstLine="0"/>
      </w:pPr>
      <w:rPr>
        <w:rFonts w:hAnsi="Times New Roman" w:ascii="Times New Roman"/>
      </w:rPr>
    </w:lvl>
    <w:lvl w:ilvl="1">
      <w:numFmt w:val="decimal"/>
      <w:lvlText w:val="%2."/>
      <w:start w:val="1"/>
      <w:pPr>
        <w:ind w:left="1080" w:hanging="360"/>
      </w:pPr>
      <w:rPr>
        <w:b w:val="1"/>
      </w:rPr>
    </w:lvl>
    <w:lvl w:ilvl="2">
      <w:numFmt w:val="decimal"/>
      <w:lvlText w:val="%3."/>
      <w:start w:val="1"/>
      <w:pPr>
        <w:ind w:left="1440" w:hanging="360"/>
      </w:pPr>
    </w:lvl>
    <w:lvl w:ilvl="3">
      <w:numFmt w:val="decimal"/>
      <w:lvlText w:val="%4."/>
      <w:start w:val="1"/>
      <w:pPr>
        <w:ind w:left="1800" w:hanging="360"/>
      </w:pPr>
    </w:lvl>
    <w:lvl w:ilvl="4">
      <w:numFmt w:val="decimal"/>
      <w:lvlText w:val="%5."/>
      <w:start w:val="1"/>
      <w:pPr>
        <w:ind w:left="2160" w:hanging="360"/>
      </w:pPr>
    </w:lvl>
    <w:lvl w:ilvl="5">
      <w:numFmt w:val="decimal"/>
      <w:lvlText w:val="%6."/>
      <w:start w:val="1"/>
      <w:pPr>
        <w:ind w:left="2520" w:hanging="360"/>
      </w:pPr>
    </w:lvl>
    <w:lvl w:ilvl="6">
      <w:numFmt w:val="decimal"/>
      <w:lvlText w:val="%7."/>
      <w:start w:val="1"/>
      <w:pPr>
        <w:ind w:left="2880" w:hanging="360"/>
      </w:pPr>
    </w:lvl>
    <w:lvl w:ilvl="7">
      <w:numFmt w:val="decimal"/>
      <w:lvlText w:val="%8."/>
      <w:start w:val="1"/>
      <w:pPr>
        <w:ind w:left="3240" w:hanging="360"/>
      </w:pPr>
    </w:lvl>
    <w:lvl w:ilvl="8">
      <w:numFmt w:val="decimal"/>
      <w:lvlText w:val="%9."/>
      <w:start w:val="1"/>
      <w:pPr>
        <w:ind w:left="3600" w:hanging="360"/>
      </w:pPr>
    </w:lvl>
  </w:abstractNum>
  <w:abstractNum w:abstractNumId="17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8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19">
    <w:lvl w:ilvl="0">
      <w:numFmt w:val="decimal"/>
      <w:lvlText w:val="%1)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20">
    <w:lvl w:ilvl="0">
      <w:numFmt w:val="decimal"/>
      <w:lvlText w:val="%1)"/>
      <w:start w:val="1"/>
      <w:pPr>
        <w:ind w:left="720" w:hanging="360"/>
      </w:pPr>
      <w:rPr>
        <w:sz w:val="28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21">
    <w:lvl w:ilvl="0">
      <w:numFmt w:val="decimal"/>
      <w:lvlText w:val="%1)"/>
      <w:start w:val="1"/>
      <w:pPr>
        <w:ind w:left="1025" w:hanging="465"/>
      </w:pPr>
    </w:lvl>
  </w:abstractNum>
  <w:num w:numId="20">
    <w:abstractNumId w:val="20"/>
  </w:num>
  <w:num w:numId="10">
    <w:abstractNumId w:val="10"/>
  </w:num>
  <w:num w:numId="16">
    <w:abstractNumId w:val="16"/>
  </w:num>
  <w:num w:numId="19">
    <w:abstractNumId w:val="19"/>
  </w:num>
  <w:num w:numId="18">
    <w:abstractNumId w:val="18"/>
  </w: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7">
    <w:abstractNumId w:val="17"/>
  </w:num>
  <w:num w:numId="21">
    <w:abstractNumId w:val="21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0"/>
      </w:rPr>
    </w:rPrDefault>
    <w:pPrDefault>
      <w:pPr>
        <w:spacing w:lineRule="auto" w:line="240.0"/>
      </w:pPr>
    </w:pPrDefault>
  </w:docDefaults>
  <w:style w:styleId="24" w:type="paragraph">
    <w:name w:val="ConsPlusNormal"/>
    <w:pPr>
      <w:ind w:firstLine="720"/>
    </w:pPr>
    <w:rPr>
      <w:rFonts w:hAnsi="Arial" w:ascii="Arial"/>
    </w:rPr>
  </w:style>
  <w:style w:styleId="25" w:type="paragraph">
    <w:name w:val="ConsPlusTitle"/>
    <w:rPr>
      <w:rFonts w:hAnsi="Arial" w:ascii="Arial"/>
      <w:b w:val="1"/>
    </w:rPr>
  </w:style>
  <w:style w:styleId="26" w:type="paragraph">
    <w:name w:val="Основной текст"/>
    <w:pPr>
      <w:spacing w:after="120"/>
    </w:pPr>
    <w:rPr>
      <w:rFonts w:hAnsi="Times New Roman" w:ascii="Times New Roman"/>
      <w:sz w:val="24"/>
    </w:rPr>
  </w:style>
  <w:style w:styleId="45" w:type="paragraph">
    <w:name w:val="Без интервала"/>
    <w:rPr>
      <w:sz w:val="22"/>
    </w:rPr>
  </w:style>
  <w:style w:styleId="22" w:type="paragraph">
    <w:name w:val="Абзац списка"/>
    <w:pPr>
      <w:ind w:left="720"/>
    </w:pPr>
    <w:rPr>
      <w:rFonts w:hAnsi="Times New Roman" w:ascii="Times New Roman"/>
      <w:sz w:val="24"/>
    </w:rPr>
  </w:style>
  <w:style w:styleId="17" w:type="paragraph">
    <w:name w:val="Основной текст с отступом"/>
    <w:pPr>
      <w:ind w:left="283"/>
      <w:spacing w:after="120"/>
    </w:pPr>
    <w:rPr>
      <w:rFonts w:hAnsi="Times New Roman" w:ascii="Times New Roman"/>
      <w:sz w:val="24"/>
    </w:rPr>
  </w:style>
  <w:style w:styleId="23" w:type="paragraph">
    <w:name w:val="ConsNormal"/>
    <w:pPr>
      <w:ind w:firstLine="720"/>
    </w:pPr>
    <w:rPr>
      <w:rFonts w:hAnsi="Arial" w:ascii="Arial"/>
    </w:rPr>
  </w:style>
  <w:style w:styleId="19" w:type="paragraph">
    <w:name w:val="Основной текст 2"/>
    <w:pPr>
      <w:spacing w:after="120" w:lineRule="auto" w:line="480.0"/>
    </w:pPr>
    <w:rPr>
      <w:rFonts w:hAnsi="Times New Roman" w:ascii="Times New Roman"/>
      <w:sz w:val="24"/>
    </w:rPr>
  </w:style>
  <w:style w:styleId="32" w:type="paragraph">
    <w:name w:val="Знак"/>
    <w:pPr>
      <w:jc w:val="right"/>
      <w:spacing w:after="160" w:lineRule="exact" w:line="240"/>
    </w:pPr>
    <w:rPr>
      <w:rFonts w:hAnsi="Times New Roman" w:ascii="Times New Roman"/>
      <w:sz w:val="20"/>
    </w:rPr>
  </w:style>
  <w:style w:styleId="30" w:type="paragraph">
    <w:name w:val="Нижний колонтитул"/>
    <w:rPr>
      <w:rFonts w:hAnsi="Times New Roman" w:ascii="Times New Roman"/>
      <w:sz w:val="24"/>
    </w:rPr>
  </w:style>
  <w:style w:styleId="37" w:type="paragraph">
    <w:name w:val="Основной текст с отступом 3"/>
    <w:pPr>
      <w:ind w:left="283"/>
      <w:spacing w:after="120"/>
    </w:pPr>
    <w:rPr>
      <w:rFonts w:hAnsi="Times New Roman" w:ascii="Times New Roman"/>
      <w:sz w:val="16"/>
    </w:rPr>
  </w:style>
  <w:style w:styleId="43" w:type="paragraph">
    <w:name w:val="Текст выноски"/>
    <w:rPr>
      <w:rFonts w:hAnsi="Tahoma" w:ascii="Tahoma"/>
      <w:sz w:val="16"/>
    </w:rPr>
  </w:style>
  <w:style w:styleId="35" w:type="paragraph">
    <w:name w:val="Основной текст с отступом 2"/>
    <w:pPr>
      <w:ind w:left="283"/>
      <w:spacing w:after="120" w:lineRule="auto" w:line="480.0"/>
    </w:pPr>
    <w:rPr>
      <w:rFonts w:hAnsi="Times New Roman" w:ascii="Times New Roman"/>
      <w:sz w:val="24"/>
    </w:rPr>
  </w:style>
  <w:style w:styleId="34" w:type="paragraph">
    <w:name w:val="ConsPlusNonformat"/>
    <w:rPr>
      <w:rFonts w:hAnsi="Courier New" w:ascii="Courier New"/>
    </w:rPr>
  </w:style>
  <w:style w:styleId="1" w:type="paragraph">
    <w:name w:val="Заголовок 1"/>
    <w:pPr>
      <w:spacing w:before="240" w:after="60"/>
    </w:pPr>
    <w:rPr>
      <w:rFonts w:hAnsi="Arial" w:ascii="Arial"/>
      <w:sz w:val="32"/>
      <w:b w:val="1"/>
    </w:rPr>
  </w:style>
  <w:style w:styleId="0" w:type="paragraph">
    <w:name w:val="Обычный"/>
    <w:rPr>
      <w:rFonts w:hAnsi="Times New Roman" w:ascii="Times New Roman"/>
      <w:sz w:val="24"/>
    </w:rPr>
  </w:style>
  <w:style w:styleId="3" w:type="paragraph">
    <w:name w:val="Заголовок 3"/>
    <w:pPr>
      <w:spacing w:before="240" w:after="60"/>
    </w:pPr>
    <w:rPr>
      <w:rFonts w:hAnsi="Cambria" w:ascii="Cambria"/>
      <w:sz w:val="26"/>
      <w:b w:val="1"/>
    </w:rPr>
  </w:style>
  <w:style w:styleId="2" w:type="paragraph">
    <w:name w:val="Заголовок 2"/>
    <w:pPr>
      <w:spacing w:before="240" w:after="60"/>
    </w:pPr>
    <w:rPr>
      <w:rFonts w:hAnsi="Arial" w:ascii="Arial"/>
      <w:sz w:val="28"/>
      <w:b w:val="1"/>
      <w:i w:val="1"/>
    </w:rPr>
  </w:style>
  <w:style w:styleId="40" w:type="paragraph">
    <w:name w:val="Текст сноски"/>
    <w:pPr>
      <w:jc w:val="both"/>
      <w:ind w:left="1080"/>
      <w:spacing w:before="120" w:after="120" w:lineRule="atLeast" w:line="200"/>
    </w:pPr>
    <w:rPr>
      <w:rFonts w:hAnsi="Arial" w:ascii="Arial"/>
      <w:sz w:val="16"/>
    </w:rPr>
  </w:style>
  <w:style w:styleId="28" w:type="paragraph">
    <w:name w:val="Верхний колонтитул"/>
    <w:rPr>
      <w:rFonts w:hAnsi="Times New Roman" w:ascii="Times New Roman"/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media/image0.png" Type="http://schemas.openxmlformats.org/officeDocument/2006/relationships/image"/><Relationship Id="rId2" Target="numbering.xml" Type="http://schemas.openxmlformats.org/officeDocument/2006/relationships/numbering"/><Relationship Id="rId3" Target="settings.xml" Type="http://schemas.openxmlformats.org/officeDocument/2006/relationships/settings"/><Relationship Id="rId4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Постановление № 32 от 04.07.2019 г. измен в  МЦП Обеспеч населения питьевой водой на 2019г.doc</dc:title>
</cp:coreProperties>
</file>