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Социальные льготы </w:t>
      </w:r>
      <w:r>
        <w:rPr>
          <w:rFonts w:cs="Times New Roman" w:ascii="Times New Roman" w:hAnsi="Times New Roman"/>
          <w:b/>
          <w:sz w:val="28"/>
          <w:szCs w:val="28"/>
        </w:rPr>
        <w:t>предпенсионерам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Речь идет о предоставлении льготного проезда на транспорте и бесплатных лекарств, скидке на оплату капремонта и других жилищно-коммунальных услуг и прочее.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 этого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что понятие </w:t>
      </w:r>
      <w:r>
        <w:fldChar w:fldCharType="begin"/>
      </w:r>
      <w:r>
        <w:instrText> HYPERLINK "http://posobie-expert.ru/news/predpensionery-s-kakogo-vozrasta-v-2019-godu/" \l "1"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«предпенсионный возраст»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2019 года в Волгоградской области за подтверждением официального статуса предпенсионера обратились уже более 3 тысяч жителей региона.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2019-09-05T14:27:27Z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