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Autospacing="1" w:afterAutospacing="1"/>
        <w:jc w:val="center"/>
        <w:outlineLvl w:val="0"/>
        <w:rPr/>
      </w:pPr>
      <w:r>
        <w:rPr>
          <w:rFonts w:eastAsia="Times New Roman" w:cs="Times New Roman" w:ascii="Times New Roman" w:hAnsi="Times New Roman"/>
          <w:b/>
          <w:bCs/>
          <w:sz w:val="28"/>
          <w:szCs w:val="28"/>
          <w:lang w:eastAsia="ru-RU"/>
        </w:rPr>
        <w:t>Что нового в МСК</w:t>
      </w:r>
      <w:r>
        <w:rPr>
          <w:rStyle w:val="Style13"/>
          <w:b/>
          <w:bCs/>
          <w:sz w:val="28"/>
          <w:szCs w:val="28"/>
        </w:rPr>
        <w:t> </w:t>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5"/>
        <w:jc w:val="both"/>
        <w:rPr/>
      </w:pPr>
      <w:r>
        <w:rPr/>
        <w:t>В</w:t>
      </w:r>
      <w:r>
        <w:rPr>
          <w:b/>
          <w:bCs/>
          <w:sz w:val="28"/>
          <w:szCs w:val="28"/>
        </w:rPr>
        <w:t xml:space="preserve"> Волгоградской области за 12 лет реализации законодательства о материнском капитале выдано более 150 тысяч сертификатов на МСК. 114 тысяч владельцев сертификатов уже распорядились средствами маткапа, им перечислено почти 42 млрд. рублей на различные направления. При этом на улучшение жилищных условий приняли решение направить средства материнского капитала более 103 тысяч семей, это почти 91% от всех принятых заявлений.</w:t>
      </w:r>
    </w:p>
    <w:p>
      <w:pPr>
        <w:pStyle w:val="Style15"/>
        <w:jc w:val="both"/>
        <w:rPr/>
      </w:pPr>
      <w:r>
        <w:rPr>
          <w:b/>
          <w:bCs/>
          <w:sz w:val="28"/>
          <w:szCs w:val="28"/>
        </w:rPr>
        <w:t xml:space="preserve">Начиная с 29 марта вступили в силу </w:t>
      </w:r>
      <w:hyperlink r:id="rId2">
        <w:r>
          <w:rPr>
            <w:rStyle w:val="Style12"/>
            <w:b/>
            <w:bCs/>
            <w:sz w:val="28"/>
            <w:szCs w:val="28"/>
          </w:rPr>
          <w:t>поправки</w:t>
        </w:r>
      </w:hyperlink>
      <w:r>
        <w:rPr>
          <w:b/>
          <w:bCs/>
          <w:sz w:val="28"/>
          <w:szCs w:val="28"/>
        </w:rPr>
        <w:t xml:space="preserve"> в программу материнского капитала, касающиеся распоряжения средствами на улучшение жилищных условий семьи.</w:t>
      </w:r>
    </w:p>
    <w:p>
      <w:pPr>
        <w:pStyle w:val="Style15"/>
        <w:rPr>
          <w:b/>
          <w:b/>
          <w:bCs/>
          <w:sz w:val="28"/>
          <w:szCs w:val="28"/>
        </w:rPr>
      </w:pPr>
      <w:r>
        <w:rPr>
          <w:b/>
          <w:bCs/>
          <w:sz w:val="28"/>
          <w:szCs w:val="28"/>
        </w:rPr>
        <w:t> </w:t>
      </w:r>
    </w:p>
    <w:p>
      <w:pPr>
        <w:pStyle w:val="Style15"/>
        <w:jc w:val="both"/>
        <w:rPr>
          <w:b/>
          <w:b/>
          <w:bCs/>
          <w:sz w:val="28"/>
          <w:szCs w:val="28"/>
        </w:rPr>
      </w:pPr>
      <w:r>
        <w:rPr>
          <w:b/>
          <w:bCs/>
          <w:sz w:val="28"/>
          <w:szCs w:val="28"/>
        </w:rPr>
        <w:t>Одно из главных изменений коснулось усиления контроля за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pPr>
        <w:pStyle w:val="Style15"/>
        <w:rPr>
          <w:b/>
          <w:b/>
          <w:bCs/>
          <w:sz w:val="28"/>
          <w:szCs w:val="28"/>
        </w:rPr>
      </w:pPr>
      <w:r>
        <w:rPr>
          <w:b/>
          <w:bCs/>
          <w:sz w:val="28"/>
          <w:szCs w:val="28"/>
        </w:rPr>
        <w:t> </w:t>
      </w:r>
    </w:p>
    <w:p>
      <w:pPr>
        <w:pStyle w:val="Style15"/>
        <w:jc w:val="both"/>
        <w:rPr>
          <w:b/>
          <w:b/>
          <w:bCs/>
          <w:sz w:val="28"/>
          <w:szCs w:val="28"/>
        </w:rPr>
      </w:pPr>
      <w:r>
        <w:rPr>
          <w:b/>
          <w:bCs/>
          <w:sz w:val="28"/>
          <w:szCs w:val="28"/>
        </w:rPr>
        <w:t>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pPr>
        <w:pStyle w:val="Style15"/>
        <w:rPr>
          <w:b/>
          <w:b/>
          <w:bCs/>
          <w:sz w:val="28"/>
          <w:szCs w:val="28"/>
        </w:rPr>
      </w:pPr>
      <w:r>
        <w:rPr>
          <w:b/>
          <w:bCs/>
          <w:sz w:val="28"/>
          <w:szCs w:val="28"/>
        </w:rPr>
        <w:t> </w:t>
      </w:r>
    </w:p>
    <w:p>
      <w:pPr>
        <w:pStyle w:val="Style15"/>
        <w:jc w:val="both"/>
        <w:rPr>
          <w:b/>
          <w:b/>
          <w:bCs/>
          <w:sz w:val="28"/>
          <w:szCs w:val="28"/>
        </w:rPr>
      </w:pPr>
      <w:r>
        <w:rPr>
          <w:b/>
          <w:bCs/>
          <w:sz w:val="28"/>
          <w:szCs w:val="28"/>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pPr>
        <w:pStyle w:val="Style15"/>
        <w:rPr>
          <w:b/>
          <w:b/>
          <w:bCs/>
          <w:sz w:val="28"/>
          <w:szCs w:val="28"/>
        </w:rPr>
      </w:pPr>
      <w:r>
        <w:rPr>
          <w:b/>
          <w:bCs/>
          <w:sz w:val="28"/>
          <w:szCs w:val="28"/>
        </w:rPr>
        <w:t> </w:t>
      </w:r>
    </w:p>
    <w:p>
      <w:pPr>
        <w:pStyle w:val="Style15"/>
        <w:jc w:val="both"/>
        <w:rPr>
          <w:b/>
          <w:b/>
          <w:bCs/>
          <w:sz w:val="28"/>
          <w:szCs w:val="28"/>
        </w:rPr>
      </w:pPr>
      <w:r>
        <w:rPr>
          <w:b/>
          <w:bCs/>
          <w:sz w:val="28"/>
          <w:szCs w:val="28"/>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pPr>
        <w:pStyle w:val="Style15"/>
        <w:rPr>
          <w:b/>
          <w:b/>
          <w:bCs/>
          <w:sz w:val="28"/>
          <w:szCs w:val="28"/>
        </w:rPr>
      </w:pPr>
      <w:r>
        <w:rPr>
          <w:b/>
          <w:bCs/>
          <w:sz w:val="28"/>
          <w:szCs w:val="28"/>
        </w:rPr>
        <w:t> </w:t>
      </w:r>
    </w:p>
    <w:p>
      <w:pPr>
        <w:pStyle w:val="Style15"/>
        <w:jc w:val="both"/>
        <w:rPr>
          <w:b/>
          <w:b/>
          <w:bCs/>
          <w:sz w:val="28"/>
          <w:szCs w:val="28"/>
        </w:rPr>
      </w:pPr>
      <w:r>
        <w:rPr>
          <w:b/>
          <w:bCs/>
          <w:sz w:val="28"/>
          <w:szCs w:val="28"/>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pPr>
        <w:pStyle w:val="Style15"/>
        <w:rPr>
          <w:b/>
          <w:b/>
          <w:bCs/>
          <w:sz w:val="28"/>
          <w:szCs w:val="28"/>
        </w:rPr>
      </w:pPr>
      <w:r>
        <w:rPr>
          <w:b/>
          <w:bCs/>
          <w:sz w:val="28"/>
          <w:szCs w:val="28"/>
        </w:rPr>
        <w:t> </w:t>
      </w:r>
    </w:p>
    <w:p>
      <w:pPr>
        <w:pStyle w:val="Style15"/>
        <w:jc w:val="both"/>
        <w:rPr>
          <w:b/>
          <w:b/>
          <w:bCs/>
          <w:sz w:val="28"/>
          <w:szCs w:val="28"/>
        </w:rPr>
      </w:pPr>
      <w:r>
        <w:rPr>
          <w:b/>
          <w:bCs/>
          <w:sz w:val="28"/>
          <w:szCs w:val="28"/>
        </w:rPr>
        <w:t>Вместе с тем перечень организаций, выдающих займы под использование материнского капитала, дополнен Единым институтом развития в жилищной сфере ДОМ.РФ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ДОМ.РФ.</w:t>
      </w:r>
    </w:p>
    <w:p>
      <w:pPr>
        <w:pStyle w:val="Style15"/>
        <w:rPr>
          <w:b/>
          <w:b/>
          <w:bCs/>
          <w:sz w:val="28"/>
          <w:szCs w:val="28"/>
        </w:rPr>
      </w:pPr>
      <w:r>
        <w:rPr>
          <w:b/>
          <w:bCs/>
          <w:sz w:val="28"/>
          <w:szCs w:val="28"/>
        </w:rPr>
        <w:t> </w:t>
      </w:r>
    </w:p>
    <w:p>
      <w:pPr>
        <w:pStyle w:val="Style15"/>
        <w:spacing w:before="0" w:after="140"/>
        <w:jc w:val="both"/>
        <w:rPr>
          <w:b/>
          <w:b/>
          <w:bCs/>
          <w:sz w:val="28"/>
          <w:szCs w:val="28"/>
        </w:rPr>
      </w:pPr>
      <w:r>
        <w:rPr>
          <w:b/>
          <w:bCs/>
          <w:sz w:val="28"/>
          <w:szCs w:val="28"/>
        </w:rPr>
        <w:t>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с даты последнего платежа, завершающего расходование средств.</w:t>
      </w:r>
    </w:p>
    <w:p>
      <w:pPr>
        <w:sectPr>
          <w:type w:val="continuous"/>
          <w:pgSz w:w="11906" w:h="16838"/>
          <w:pgMar w:left="1701" w:right="850" w:header="0" w:top="1134" w:footer="0" w:bottom="1134" w:gutter="0"/>
          <w:formProt w:val="false"/>
          <w:textDirection w:val="lrTb"/>
          <w:docGrid w:type="default" w:linePitch="360" w:charSpace="4294965247"/>
        </w:sectPr>
      </w:pP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a6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673973"/>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673973"/>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73973"/>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673973"/>
    <w:rPr>
      <w:rFonts w:ascii="Times New Roman" w:hAnsi="Times New Roman" w:eastAsia="Times New Roman" w:cs="Times New Roman"/>
      <w:b/>
      <w:bCs/>
      <w:sz w:val="27"/>
      <w:szCs w:val="27"/>
      <w:lang w:eastAsia="ru-RU"/>
    </w:rPr>
  </w:style>
  <w:style w:type="character" w:styleId="Style12">
    <w:name w:val="Интернет-ссылка"/>
    <w:rPr>
      <w:color w:val="000080"/>
      <w:u w:val="single"/>
      <w:lang w:val="zxx" w:eastAsia="zxx" w:bidi="zxx"/>
    </w:rPr>
  </w:style>
  <w:style w:type="character" w:styleId="Style13">
    <w:name w:val="Выделение жирным"/>
    <w:rPr>
      <w:b/>
      <w:bC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67397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gov.ru/laws/acts/22/51554510601047.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LibreOffice/5.0.3.2$Windows_x86 LibreOffice_project/e5f16313668ac592c1bfb310f4390624e3dbfb75</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2019-09-12T07:06:00Z</dcterms:created>
  <dc:creator>044MatyushechkinaMS</dc:creator>
  <dc:language>ru-RU</dc:language>
  <cp:lastPrinted>2019-09-12T07:06:00Z</cp:lastPrinted>
  <dcterms:modified xsi:type="dcterms:W3CDTF">2019-09-26T17:43:35Z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