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beforeAutospacing="0" w:before="60" w:afterAutospacing="0" w:after="60"/>
        <w:ind w:firstLine="567"/>
        <w:jc w:val="center"/>
        <w:rPr/>
      </w:pPr>
      <w:r>
        <w:rPr/>
        <w:t>Как делать добровольные взносы на пенсию</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pPr>
      <w:r>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pPr>
        <w:pStyle w:val="Style14"/>
        <w:rPr/>
      </w:pPr>
      <w:r>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pPr>
        <w:pStyle w:val="Style14"/>
        <w:rPr/>
      </w:pPr>
      <w:r>
        <w:rPr/>
        <w:t xml:space="preserve">Чтобы уплачивать их, необходимо подать </w:t>
      </w:r>
      <w:hyperlink r:id="rId2">
        <w:r>
          <w:rPr>
            <w:rStyle w:val="Style12"/>
          </w:rPr>
          <w:t>заявление</w:t>
        </w:r>
      </w:hyperlink>
      <w:r>
        <w:rPr/>
        <w:t xml:space="preserve">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pPr>
        <w:pStyle w:val="Style14"/>
        <w:rPr/>
      </w:pPr>
      <w:r>
        <w:rPr/>
        <w:t xml:space="preserve">Соответствующие платежи перечисляются через банк по реквизитам, сформированным с помощью </w:t>
      </w:r>
      <w:hyperlink r:id="rId3">
        <w:r>
          <w:rPr>
            <w:rStyle w:val="Style12"/>
          </w:rPr>
          <w:t>электронного сервиса</w:t>
        </w:r>
      </w:hyperlink>
      <w:r>
        <w:rPr/>
        <w:t xml:space="preserve">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pPr>
        <w:pStyle w:val="Style14"/>
        <w:rPr/>
      </w:pPr>
      <w:r>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pPr>
        <w:pStyle w:val="Style14"/>
        <w:rPr/>
      </w:pPr>
      <w:r>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pPr>
        <w:pStyle w:val="Style14"/>
        <w:rPr/>
      </w:pPr>
      <w:r>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pPr>
        <w:pStyle w:val="Style14"/>
        <w:rPr/>
      </w:pPr>
      <w:r>
        <w:rPr/>
        <w:t>Возможность уплаты добровольных взносов на пенсию предусмотрена статьей 29 </w:t>
      </w:r>
      <w:hyperlink r:id="rId4">
        <w:r>
          <w:rPr>
            <w:rStyle w:val="Style12"/>
          </w:rPr>
          <w:t>федерального закона № 167-ФЗ</w:t>
        </w:r>
      </w:hyperlink>
      <w:r>
        <w:rPr/>
        <w:t xml:space="preserve"> от 15 декабря 2001 года «Об обязательном пенсионном страховании в Российской Федерации» и реализуется в соответствии с </w:t>
      </w:r>
      <w:hyperlink r:id="rId5">
        <w:r>
          <w:rPr>
            <w:rStyle w:val="Style12"/>
          </w:rPr>
          <w:t>приказом Минтруда России № 462н</w:t>
        </w:r>
      </w:hyperlink>
      <w:r>
        <w:rPr/>
        <w:t xml:space="preserve"> от 31 мая 2017 года.</w:t>
      </w:r>
    </w:p>
    <w:p>
      <w:pPr>
        <w:pStyle w:val="1"/>
        <w:spacing w:lineRule="auto" w:line="360" w:beforeAutospacing="0" w:before="60" w:afterAutospacing="0" w:after="60"/>
        <w:ind w:firstLine="567"/>
        <w:jc w:val="center"/>
        <w:rPr/>
      </w:pPr>
      <w:r>
        <w:rPr/>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74be"/>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rsid w:val="00b72ba8"/>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viewerng/viewer?url=https://www.pfrf.ru/files/id/news/Zayavlenie_o_vstuplenii.doc" TargetMode="External"/><Relationship Id="rId3" Type="http://schemas.openxmlformats.org/officeDocument/2006/relationships/hyperlink" Target="http://www.pfrf.ru/eservices/pay_docs" TargetMode="External"/><Relationship Id="rId4" Type="http://schemas.openxmlformats.org/officeDocument/2006/relationships/hyperlink" Target="https://docs.google.com/viewerng/viewer?url=http://www.pfrf.ru/files/id/zakonodatelstvo/sofin/2018/fedzak_167fz.doc" TargetMode="External"/><Relationship Id="rId5" Type="http://schemas.openxmlformats.org/officeDocument/2006/relationships/hyperlink" Target="https://docs.google.com/viewerng/viewer?url=http://www.pfrf.ru/files/id/zakonodatelstvo/administr_vznosov/prik_minfin_462n.do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2019-11-20T11:36:00Z</dcterms:created>
  <dc:creator>044PolovinkinaYUV</dc:creator>
  <dc:language>ru-RU</dc:language>
  <dcterms:modified xsi:type="dcterms:W3CDTF">2019-11-25T10:35:44Z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