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ПФР предупреждает граждан о возможных финансовых потерях при досрочной смене страховщика. </w:t>
      </w:r>
    </w:p>
    <w:p>
      <w:pPr>
        <w:pStyle w:val="Style18"/>
        <w:spacing w:before="0" w:after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Style14"/>
        <w:rPr/>
      </w:pPr>
      <w:r>
        <w:rPr/>
        <w:t> </w:t>
      </w:r>
      <w:r>
        <w:rPr>
          <w:b/>
          <w:bCs/>
          <w:sz w:val="28"/>
          <w:szCs w:val="28"/>
        </w:rPr>
        <w:t>У граждан 1967 года рождения и моложе, а также у участников программы государственного софинансирования пенсий и у матерей, направивших средства материнского (семейного) капитала на формирование накопительной пенсии, образуются пенсионные накопления. Эти граждане имеют право ежегодно определяться со способом их формирования и выбрать страховщика: Пенсионный фонд России (ПФР) или негосударственный пенсионный фонд (НПФ).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Подать заявление о переходе с 1 января 2020 года в негосударственный пенсионный фонд (НПФ) или Пенсионный фонд России (ПФР), возможно двумя способами: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  в форме электронного документа через Портал госуслуг,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  обратившись лично или через представителя, действующего на основании нотариально удостоверенной доверенности, в клиентские службы ПФР.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Застрахованные лица имеют право подавать эти заявления до 1 декабря 2019 года.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Напомним, переводить накопления без потерь инвестиционного дохода можно не чаще, чем один раз в 5 лет. В 2019 году подавать заявления о переводе средств пенсионных накоплений без потерь выгодно гражданам, которые формируют свои накопления у текущего страховщика с 2015 года. В остальных случаях перевод грозит потерей инвестиционного дохода.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