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получения сведений из единого государственного реестра недвижимости </w:t>
      </w:r>
    </w:p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81">
        <w:rPr>
          <w:rFonts w:ascii="Times New Roman" w:hAnsi="Times New Roman" w:cs="Times New Roman"/>
          <w:color w:val="000000"/>
          <w:sz w:val="28"/>
          <w:szCs w:val="28"/>
        </w:rPr>
        <w:t xml:space="preserve">С 2017 года основным документом, на основании которого подтверждается право собственности на объект недвижимости, является выписка из Единого государственного реестра недвижимости (ЕГРН). </w:t>
      </w:r>
    </w:p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2081">
        <w:rPr>
          <w:rFonts w:ascii="Times New Roman" w:hAnsi="Times New Roman" w:cs="Times New Roman"/>
          <w:color w:val="000000"/>
          <w:sz w:val="28"/>
          <w:szCs w:val="28"/>
        </w:rPr>
        <w:t>Выписка из ЕГРН содержит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недвижимости, сведения о наличии решения об изъятии объекта недвижимости для государственных или муниципальных нужд, сведения о наличии поступивших, но не рассмотренных заявлений о проведении</w:t>
      </w:r>
      <w:proofErr w:type="gramEnd"/>
      <w:r w:rsidRPr="00AD208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 права и иные сведения. </w:t>
      </w:r>
    </w:p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81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предоставляет сведения, содержащиеся в ЕГРН, в бумажном и электронном виде. </w:t>
      </w:r>
    </w:p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81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запрос о предоставлении сведений ЕГРН можно несколькими способами: </w:t>
      </w:r>
    </w:p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81">
        <w:rPr>
          <w:rFonts w:ascii="Times New Roman" w:hAnsi="Times New Roman" w:cs="Times New Roman"/>
          <w:color w:val="000000"/>
          <w:sz w:val="28"/>
          <w:szCs w:val="28"/>
        </w:rPr>
        <w:t xml:space="preserve">- в бумажном виде при личном обращении в многофункциональный центр предоставления государственных и муниципальных услуг; </w:t>
      </w:r>
    </w:p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81">
        <w:rPr>
          <w:rFonts w:ascii="Times New Roman" w:hAnsi="Times New Roman" w:cs="Times New Roman"/>
          <w:color w:val="000000"/>
          <w:sz w:val="28"/>
          <w:szCs w:val="28"/>
        </w:rPr>
        <w:t xml:space="preserve">- путем отправки запроса по почте в адрес Кадастровой палаты (в данном случае подпись заявителя (его представителя) должна быть засвидетельствована в нотариальном порядке); </w:t>
      </w:r>
    </w:p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81">
        <w:rPr>
          <w:rFonts w:ascii="Times New Roman" w:hAnsi="Times New Roman" w:cs="Times New Roman"/>
          <w:color w:val="000000"/>
          <w:sz w:val="28"/>
          <w:szCs w:val="28"/>
        </w:rPr>
        <w:t>- в электронной форме при наличии усиленной квалифицированной электронной цифровой подписи, через «Личный кабинет правообладателя», путем заполнения формы запроса, размещенной на официальном сайте Федеральной службы государственной регистрации, кадастра и картографии в сети Интернет (https://rosreestr.ru).</w:t>
      </w:r>
    </w:p>
    <w:p w:rsidR="00AD2081" w:rsidRPr="00AD2081" w:rsidRDefault="00AD2081" w:rsidP="00AD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81">
        <w:rPr>
          <w:rFonts w:ascii="Times New Roman" w:hAnsi="Times New Roman" w:cs="Times New Roman"/>
          <w:color w:val="000000"/>
          <w:sz w:val="28"/>
          <w:szCs w:val="28"/>
        </w:rPr>
        <w:t xml:space="preserve">Как показывает практика, наиболее удобный и оперативный способ для многих граждан - это направление запроса в электронном виде с помощью электронного сервиса " "Личный кабинет" официального сайта Росреестра. При таком способе получения государственной услуги срок выполнения сокращается до 3-х рабочих дней (вместо 5-ти при подаче документов через МФЦ), а размер платы за предоставление услуги меньше на 30-70% в зависимости от выбранного вида предоставления сведений.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81"/>
    <w:rsid w:val="003356FA"/>
    <w:rsid w:val="00AD2081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2018-03-21T11:21:00Z</dcterms:created>
  <dcterms:modified xsi:type="dcterms:W3CDTF">2018-03-21T11:21:00Z</dcterms:modified>
</cp:coreProperties>
</file>