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4DC" w:rsidRPr="00212488" w:rsidRDefault="00BF54DC" w:rsidP="00BF54DC">
      <w:pPr>
        <w:autoSpaceDE w:val="0"/>
        <w:autoSpaceDN w:val="0"/>
        <w:adjustRightInd w:val="0"/>
        <w:spacing w:after="0" w:line="240" w:lineRule="auto"/>
        <w:jc w:val="center"/>
        <w:rPr>
          <w:rFonts w:ascii="Times New Roman" w:eastAsia="Times New Roman" w:hAnsi="Times New Roman" w:cs="Times New Roman"/>
          <w:b/>
          <w:bCs/>
          <w:color w:val="000000"/>
          <w:kern w:val="36"/>
          <w:sz w:val="28"/>
          <w:szCs w:val="28"/>
          <w:lang w:eastAsia="ru-RU"/>
        </w:rPr>
      </w:pPr>
      <w:r w:rsidRPr="00212488">
        <w:rPr>
          <w:rFonts w:ascii="Times New Roman" w:eastAsia="Times New Roman" w:hAnsi="Times New Roman" w:cs="Times New Roman"/>
          <w:b/>
          <w:bCs/>
          <w:color w:val="000000"/>
          <w:kern w:val="36"/>
          <w:sz w:val="28"/>
          <w:szCs w:val="28"/>
          <w:lang w:eastAsia="ru-RU"/>
        </w:rPr>
        <w:t>Изменение вида разрешенного использования земли может повлечь изменение кадастровой стоимости</w:t>
      </w:r>
    </w:p>
    <w:p w:rsidR="00BF54DC" w:rsidRPr="00212488" w:rsidRDefault="00BF54DC" w:rsidP="00BF54DC">
      <w:pPr>
        <w:autoSpaceDE w:val="0"/>
        <w:autoSpaceDN w:val="0"/>
        <w:adjustRightInd w:val="0"/>
        <w:spacing w:after="0" w:line="240" w:lineRule="auto"/>
        <w:rPr>
          <w:rFonts w:ascii="Times New Roman" w:hAnsi="Times New Roman" w:cs="Times New Roman"/>
          <w:color w:val="000000"/>
          <w:sz w:val="28"/>
          <w:szCs w:val="28"/>
        </w:rPr>
      </w:pPr>
    </w:p>
    <w:p w:rsidR="00BF54DC" w:rsidRPr="00212488" w:rsidRDefault="00BF54DC" w:rsidP="00BF54DC">
      <w:pPr>
        <w:shd w:val="clear" w:color="auto" w:fill="FFFFFF"/>
        <w:spacing w:after="0" w:line="240" w:lineRule="auto"/>
        <w:ind w:firstLine="709"/>
        <w:jc w:val="both"/>
        <w:rPr>
          <w:rFonts w:ascii="Times New Roman" w:hAnsi="Times New Roman" w:cs="Times New Roman"/>
          <w:color w:val="333333"/>
          <w:sz w:val="28"/>
          <w:szCs w:val="28"/>
        </w:rPr>
      </w:pPr>
      <w:r w:rsidRPr="00212488">
        <w:rPr>
          <w:rFonts w:ascii="Times New Roman" w:hAnsi="Times New Roman" w:cs="Times New Roman"/>
          <w:color w:val="333333"/>
          <w:sz w:val="28"/>
          <w:szCs w:val="28"/>
        </w:rPr>
        <w:t xml:space="preserve">Кадастровая палата по Волгоградской области напоминает волгоградцам, что одной из важнейших характеристик земельного участка является вид его разрешенного использования, который напрямую определяет, каким именно образом правообладатель может использовать земельный участок. </w:t>
      </w:r>
    </w:p>
    <w:p w:rsidR="00BF54DC" w:rsidRPr="00212488" w:rsidRDefault="00BF54DC" w:rsidP="00BF54DC">
      <w:pPr>
        <w:shd w:val="clear" w:color="auto" w:fill="FFFFFF"/>
        <w:spacing w:after="0" w:line="240" w:lineRule="auto"/>
        <w:ind w:firstLine="709"/>
        <w:jc w:val="both"/>
        <w:rPr>
          <w:rFonts w:ascii="Times New Roman" w:hAnsi="Times New Roman" w:cs="Times New Roman"/>
          <w:color w:val="333333"/>
          <w:sz w:val="28"/>
          <w:szCs w:val="28"/>
        </w:rPr>
      </w:pPr>
      <w:r w:rsidRPr="00212488">
        <w:rPr>
          <w:rFonts w:ascii="Times New Roman" w:hAnsi="Times New Roman" w:cs="Times New Roman"/>
          <w:color w:val="333333"/>
          <w:sz w:val="28"/>
          <w:szCs w:val="28"/>
        </w:rPr>
        <w:t xml:space="preserve">При покупке недвижимости или желании что-то построить на уже имеющемся участке граждане часто сталкиваются с необходимостью изменения вида разрешенного использования земли в соответствии со своими потребностями. </w:t>
      </w:r>
    </w:p>
    <w:p w:rsidR="00BF54DC" w:rsidRPr="00212488" w:rsidRDefault="00BF54DC" w:rsidP="00BF54DC">
      <w:pPr>
        <w:shd w:val="clear" w:color="auto" w:fill="FFFFFF"/>
        <w:spacing w:after="0" w:line="240" w:lineRule="auto"/>
        <w:ind w:firstLine="709"/>
        <w:jc w:val="both"/>
        <w:rPr>
          <w:rFonts w:ascii="Times New Roman" w:hAnsi="Times New Roman" w:cs="Times New Roman"/>
          <w:color w:val="333333"/>
          <w:sz w:val="28"/>
          <w:szCs w:val="28"/>
        </w:rPr>
      </w:pPr>
      <w:proofErr w:type="gramStart"/>
      <w:r w:rsidRPr="00212488">
        <w:rPr>
          <w:rFonts w:ascii="Times New Roman" w:hAnsi="Times New Roman" w:cs="Times New Roman"/>
          <w:color w:val="333333"/>
          <w:sz w:val="28"/>
          <w:szCs w:val="28"/>
        </w:rPr>
        <w:t xml:space="preserve">В то же время, не многие правообладатели знают о том, что при смене вида разрешенного использования земельного участка может измениться и его кадастровая стоимость, которая является базой для исчисления земельного налога, расчета платы за аренду земельных участков, находящихся в государственной или муниципальной собственности, выкупной цены, государственной пошлины при вступлении в наследство. </w:t>
      </w:r>
      <w:proofErr w:type="gramEnd"/>
    </w:p>
    <w:p w:rsidR="00BF54DC" w:rsidRPr="00212488" w:rsidRDefault="00BF54DC" w:rsidP="00BF54DC">
      <w:pPr>
        <w:shd w:val="clear" w:color="auto" w:fill="FFFFFF"/>
        <w:spacing w:after="0" w:line="240" w:lineRule="auto"/>
        <w:ind w:firstLine="709"/>
        <w:jc w:val="both"/>
        <w:rPr>
          <w:rFonts w:ascii="Times New Roman" w:hAnsi="Times New Roman" w:cs="Times New Roman"/>
          <w:color w:val="333333"/>
          <w:sz w:val="28"/>
          <w:szCs w:val="28"/>
        </w:rPr>
      </w:pPr>
      <w:proofErr w:type="gramStart"/>
      <w:r w:rsidRPr="00212488">
        <w:rPr>
          <w:rFonts w:ascii="Times New Roman" w:hAnsi="Times New Roman" w:cs="Times New Roman"/>
          <w:color w:val="333333"/>
          <w:sz w:val="28"/>
          <w:szCs w:val="28"/>
        </w:rPr>
        <w:t xml:space="preserve">При внесении в Единый государственный реестр недвижимости сведений об измененном виде разрешенного использования, кадастровая стоимость земельных участков пересчитывается путем умножения их площади на удельный показатель кадастровой стоимости, утвержденный Приказом Комитета по управлению государственным имуществом Администрации Волгоградской области от 27.10.2015 № 46-н (Приложение № 2), для группы видов разрешенного использования, к которой относится новое разрешенное использование. </w:t>
      </w:r>
      <w:proofErr w:type="gramEnd"/>
    </w:p>
    <w:p w:rsidR="00BF54DC" w:rsidRPr="00212488" w:rsidRDefault="00BF54DC" w:rsidP="00BF54DC">
      <w:pPr>
        <w:shd w:val="clear" w:color="auto" w:fill="FFFFFF"/>
        <w:spacing w:after="0" w:line="240" w:lineRule="auto"/>
        <w:ind w:firstLine="709"/>
        <w:jc w:val="both"/>
        <w:rPr>
          <w:rFonts w:ascii="Times New Roman" w:hAnsi="Times New Roman" w:cs="Times New Roman"/>
          <w:color w:val="333333"/>
          <w:sz w:val="28"/>
          <w:szCs w:val="28"/>
        </w:rPr>
      </w:pPr>
      <w:r w:rsidRPr="00212488">
        <w:rPr>
          <w:rFonts w:ascii="Times New Roman" w:hAnsi="Times New Roman" w:cs="Times New Roman"/>
          <w:color w:val="333333"/>
          <w:sz w:val="28"/>
          <w:szCs w:val="28"/>
        </w:rPr>
        <w:t xml:space="preserve">Таким образом, жителям Волгоградской области, желающим изменить вид разрешенного использования своих земельных участков, необходимо заранее позаботиться о своих финансовых интересах. </w:t>
      </w:r>
    </w:p>
    <w:p w:rsidR="00BC2DA1" w:rsidRDefault="00BC2DA1"/>
    <w:sectPr w:rsidR="00BC2DA1" w:rsidSect="00BC2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54DC"/>
    <w:rsid w:val="001A2298"/>
    <w:rsid w:val="00BC2DA1"/>
    <w:rsid w:val="00BF5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4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2019-02-25T09:50:00Z</dcterms:created>
  <dcterms:modified xsi:type="dcterms:W3CDTF">2019-02-25T09:50:00Z</dcterms:modified>
</cp:coreProperties>
</file>