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</w:t>
      </w:r>
      <w:r>
        <w:rPr>
          <w:b/>
        </w:rPr>
        <w:t xml:space="preserve">Электронная трудовая книжка. Вопросы </w:t>
      </w:r>
      <w:r>
        <w:rPr>
          <w:b/>
        </w:rPr>
        <w:t xml:space="preserve">2 </w:t>
      </w:r>
    </w:p>
    <w:p>
      <w:pPr>
        <w:pStyle w:val="Normal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Чем защищены базы данных ПФР? Какие гарантии, что данные будут защищены?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- Информационная система ПФР аттестована в соответствии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 xml:space="preserve">с действующим законодательством в области защиты персональных данных. 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В отличие от бумажной версии, какая еще информация будет содержаться в электронной трудовой книжке?</w:t>
      </w:r>
    </w:p>
    <w:p>
      <w:pPr>
        <w:pStyle w:val="Normal"/>
        <w:jc w:val="left"/>
        <w:rPr/>
      </w:pPr>
      <w:r>
        <w:rPr>
          <w:rFonts w:ascii="CenturyGothic" w:hAnsi="CenturyGothic"/>
          <w:color w:val="000000"/>
          <w:sz w:val="30"/>
        </w:rPr>
        <w:t>- По составу данных обе книжки почти идентичны.</w:t>
      </w:r>
    </w:p>
    <w:p>
      <w:pPr>
        <w:pStyle w:val="Normal"/>
        <w:spacing w:before="0" w:after="29"/>
        <w:jc w:val="left"/>
        <w:rPr/>
      </w:pPr>
      <w:r>
        <w:rPr>
          <w:rFonts w:ascii="CenturyGothic-Bold" w:hAnsi="CenturyGothic-Bold"/>
          <w:b/>
          <w:color w:val="000000"/>
          <w:sz w:val="30"/>
        </w:rPr>
        <w:t xml:space="preserve">- </w:t>
      </w:r>
      <w:r>
        <w:rPr>
          <w:rFonts w:ascii="CenturyGothic-BoldItalic" w:hAnsi="CenturyGothic-BoldItalic"/>
          <w:b/>
          <w:i/>
          <w:color w:val="00669A"/>
          <w:sz w:val="30"/>
        </w:rPr>
        <w:t>Как можно будет получить сведения из электронной трудовой</w:t>
      </w:r>
    </w:p>
    <w:p>
      <w:pPr>
        <w:pStyle w:val="Normal"/>
        <w:spacing w:before="0" w:after="29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книжки?</w:t>
      </w:r>
    </w:p>
    <w:p>
      <w:pPr>
        <w:pStyle w:val="Normal"/>
        <w:jc w:val="both"/>
        <w:rPr/>
      </w:pPr>
      <w:r>
        <w:rPr>
          <w:rFonts w:ascii="CenturyGothic" w:hAnsi="CenturyGothic"/>
          <w:color w:val="000000"/>
          <w:sz w:val="30"/>
        </w:rPr>
        <w:t xml:space="preserve">- Сведения из электронной трудовой книжки можно будет получить через личный кабинет </w:t>
      </w:r>
      <w:r>
        <w:rPr>
          <w:rFonts w:ascii="CenturyGothic-Bold" w:hAnsi="CenturyGothic-Bold"/>
          <w:b/>
          <w:color w:val="000000"/>
          <w:sz w:val="30"/>
        </w:rPr>
        <w:t>на сайте ПФР или Портала госуслуг</w:t>
      </w:r>
      <w:r>
        <w:rPr>
          <w:rFonts w:ascii="CenturyGothic" w:hAnsi="CenturyGothic"/>
          <w:color w:val="000000"/>
          <w:sz w:val="30"/>
        </w:rPr>
        <w:t>. Если вы уже зарегистрированы на портале, для входа в личный кабинет на сайте ПФР используйте ваши логин и пароль. Информацию из электронной трудовой книжки можно будет получить также в бумажном виде, подав заявку:</w:t>
      </w:r>
    </w:p>
    <w:p>
      <w:pPr>
        <w:pStyle w:val="Normal"/>
        <w:jc w:val="left"/>
        <w:rPr/>
      </w:pPr>
      <w:r>
        <w:rPr>
          <w:rFonts w:ascii="CenturyGothic" w:hAnsi="CenturyGothic"/>
          <w:color w:val="000000"/>
          <w:sz w:val="30"/>
        </w:rPr>
        <w:t xml:space="preserve">■ </w:t>
      </w:r>
      <w:r>
        <w:rPr>
          <w:rFonts w:ascii="CenturyGothic" w:hAnsi="CenturyGothic"/>
          <w:color w:val="000000"/>
          <w:sz w:val="30"/>
        </w:rPr>
        <w:t>работодателю (по последнему месту работы);</w:t>
      </w:r>
    </w:p>
    <w:p>
      <w:pPr>
        <w:pStyle w:val="Normal"/>
        <w:jc w:val="left"/>
        <w:rPr/>
      </w:pPr>
      <w:r>
        <w:rPr>
          <w:rFonts w:ascii="CenturyGothic" w:hAnsi="CenturyGothic"/>
          <w:color w:val="000000"/>
          <w:sz w:val="30"/>
        </w:rPr>
        <w:t xml:space="preserve">■ </w:t>
      </w:r>
      <w:r>
        <w:rPr>
          <w:rFonts w:ascii="CenturyGothic" w:hAnsi="CenturyGothic"/>
          <w:color w:val="000000"/>
          <w:sz w:val="30"/>
        </w:rPr>
        <w:t>в территориальном органе Пенсионного фонда России;</w:t>
      </w:r>
    </w:p>
    <w:p>
      <w:pPr>
        <w:pStyle w:val="Normal"/>
        <w:spacing w:before="0" w:after="200"/>
        <w:jc w:val="left"/>
        <w:rPr/>
      </w:pPr>
      <w:r>
        <w:rPr>
          <w:rFonts w:ascii="CenturyGothic" w:hAnsi="CenturyGothic"/>
          <w:color w:val="000000"/>
          <w:sz w:val="30"/>
        </w:rPr>
        <w:t xml:space="preserve">■ </w:t>
      </w:r>
      <w:r>
        <w:rPr>
          <w:rFonts w:ascii="CenturyGothic" w:hAnsi="CenturyGothic"/>
          <w:color w:val="000000"/>
          <w:sz w:val="30"/>
        </w:rPr>
        <w:t>в многофункциональном центре (МФЦ).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Gothic-BoldItalic">
    <w:charset w:val="cc"/>
    <w:family w:val="roman"/>
    <w:pitch w:val="variable"/>
  </w:font>
  <w:font w:name="CenturyGothic">
    <w:charset w:val="cc"/>
    <w:family w:val="roman"/>
    <w:pitch w:val="variable"/>
  </w:font>
  <w:font w:name="CenturyGothic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2021-02-25T15:30:18Z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