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9" w:rsidRPr="00A05EE8" w:rsidRDefault="00E10DB9" w:rsidP="00E10DB9">
      <w:pPr>
        <w:pStyle w:val="1"/>
        <w:shd w:val="clear" w:color="auto" w:fill="FFFFFF"/>
        <w:spacing w:before="0" w:after="192"/>
        <w:ind w:left="660"/>
        <w:rPr>
          <w:rFonts w:ascii="Times New Roman" w:hAnsi="Times New Roman" w:cs="Times New Roman"/>
          <w:color w:val="auto"/>
          <w:sz w:val="28"/>
          <w:szCs w:val="28"/>
        </w:rPr>
      </w:pPr>
      <w:r w:rsidRPr="00A05EE8">
        <w:rPr>
          <w:rFonts w:ascii="Times New Roman" w:hAnsi="Times New Roman" w:cs="Times New Roman"/>
          <w:color w:val="auto"/>
          <w:sz w:val="28"/>
          <w:szCs w:val="28"/>
        </w:rPr>
        <w:t>За 5 месяцев 2019 года Кадастровая палата получила более 2,3 тыс. заявлений по экстерриториальному принципу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 январе - мае 2019 года в Кадастровую палату по Волгоградской области поступило из других регионов Российской Федерации 2339 заявлений, касающихся волгоградской недвижимости, на государственную регистрацию прав и государственный кадастровый учет по экстерриториальному принципу. Это в 17 раз больше показателя аналогичного периода прошлого года.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Наибольшее количество обращений в 2019 году поступило из </w:t>
      </w:r>
      <w:proofErr w:type="gramStart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г</w:t>
      </w:r>
      <w:proofErr w:type="gramEnd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. Москва, г. Санкт-Петербург, Краснодарского края, Московской и Челябинской областей.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Экстерриториальный принцип позволяет гражданам подать и получить документы для регистрации прав, кадастрового учета или предоставления сведений об объекте недвижимости независимо от его местонахождения на территории России. Данная возможность предусмотрена законом о государственной регистрации недвижимости и значительно экономит время и средства.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Проведенная по экстерриториальному принципу регистрация прав собственности удостоверяется выпиской из ЕГРН, в которой содержатся сведения о регистраторе, и заверяется регистратором по месту приема документов.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В свою очередь, жители области также могут обратиться за регистрацией объектов недвижимости в других регионах. Региональная Кадастровая палата ведет прием заявлений на регистрацию недвижимости по экстерриториальному принципу в </w:t>
      </w:r>
      <w:hyperlink r:id="rId4" w:anchor="/offices" w:history="1">
        <w:r w:rsidRPr="00A05EE8">
          <w:rPr>
            <w:rFonts w:eastAsiaTheme="minorHAnsi"/>
            <w:bCs/>
            <w:color w:val="000000"/>
            <w:sz w:val="28"/>
            <w:szCs w:val="28"/>
            <w:lang w:eastAsia="en-US"/>
          </w:rPr>
          <w:t>9 офисах приема-выдачи документов</w:t>
        </w:r>
      </w:hyperlink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E10DB9" w:rsidRPr="00A05EE8" w:rsidRDefault="00E10DB9" w:rsidP="00E10DB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Сроки проведения учетно-регистрационных действий по экстерриториальному принципу не отличаются от сроков, установленных для подачи заявлений обычным способом.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B9"/>
    <w:rsid w:val="00B61270"/>
    <w:rsid w:val="00BC2DA1"/>
    <w:rsid w:val="00E1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1"/>
  </w:style>
  <w:style w:type="paragraph" w:styleId="1">
    <w:name w:val="heading 1"/>
    <w:basedOn w:val="a"/>
    <w:next w:val="a"/>
    <w:link w:val="10"/>
    <w:uiPriority w:val="99"/>
    <w:qFormat/>
    <w:rsid w:val="00E10D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D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2019-06-28T07:05:00Z</dcterms:created>
  <dcterms:modified xsi:type="dcterms:W3CDTF">2019-06-28T07:05:00Z</dcterms:modified>
</cp:coreProperties>
</file>