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5" w:rsidRPr="00623345" w:rsidRDefault="00623345" w:rsidP="0062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233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Отличия между машино-местом </w:t>
      </w:r>
    </w:p>
    <w:p w:rsidR="00623345" w:rsidRPr="00623345" w:rsidRDefault="00623345" w:rsidP="0062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233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парковкой</w:t>
      </w:r>
    </w:p>
    <w:p w:rsidR="00623345" w:rsidRPr="00623345" w:rsidRDefault="00623345" w:rsidP="00623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23345" w:rsidRPr="00623345" w:rsidRDefault="00623345" w:rsidP="00623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3345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поясняет - машино-место представляет собой части зданий или сооружений, предназначенные для размещения транспортных средств, если границы таких помещений, частей зданий или сооружений имеют описание в Едином государственном реестре недвижимости. </w:t>
      </w:r>
      <w:proofErr w:type="gramStart"/>
      <w:r w:rsidRPr="00623345">
        <w:rPr>
          <w:rFonts w:ascii="Times New Roman" w:hAnsi="Times New Roman" w:cs="Times New Roman"/>
          <w:color w:val="333333"/>
          <w:sz w:val="28"/>
          <w:szCs w:val="28"/>
        </w:rPr>
        <w:t>Машино-место</w:t>
      </w:r>
      <w:proofErr w:type="gramEnd"/>
      <w:r w:rsidRPr="00623345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представляет собой обособленный объект прав.</w:t>
      </w:r>
    </w:p>
    <w:p w:rsidR="00623345" w:rsidRPr="00623345" w:rsidRDefault="00623345" w:rsidP="00623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3345">
        <w:rPr>
          <w:rFonts w:ascii="Times New Roman" w:hAnsi="Times New Roman" w:cs="Times New Roman"/>
          <w:color w:val="333333"/>
          <w:sz w:val="28"/>
          <w:szCs w:val="28"/>
        </w:rPr>
        <w:t>Местоположение машино-места устанавливается посредством графического отображения на плане этажа или части этажа здания либо сооружения (при отсутствии этажности у здания, либо сооружения - на плане здания либо сооружения) геометрической фигуры, соответствующей границам машино-места.</w:t>
      </w:r>
    </w:p>
    <w:p w:rsidR="00623345" w:rsidRPr="00623345" w:rsidRDefault="00623345" w:rsidP="00623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3345">
        <w:rPr>
          <w:rFonts w:ascii="Times New Roman" w:hAnsi="Times New Roman" w:cs="Times New Roman"/>
          <w:color w:val="333333"/>
          <w:sz w:val="28"/>
          <w:szCs w:val="28"/>
        </w:rPr>
        <w:t>Вместе с этим одновременно с термином «машино-место» в законодательстве Российской Федерации применяется понятие «парковка (парковочное место)», которая располагается за пределами зданий, сооружений. Границы парковки в соответствие с требованиями о государственном кадастровом учете не устанавливаются.</w:t>
      </w:r>
    </w:p>
    <w:p w:rsidR="00623345" w:rsidRPr="00623345" w:rsidRDefault="00623345" w:rsidP="00623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3345">
        <w:rPr>
          <w:rFonts w:ascii="Times New Roman" w:hAnsi="Times New Roman" w:cs="Times New Roman"/>
          <w:color w:val="333333"/>
          <w:sz w:val="28"/>
          <w:szCs w:val="28"/>
        </w:rPr>
        <w:t>Соответственно, парковка (парковочное место), являющаяся частью уличной сети и размещаемая, в том числе в границах дворов многоквартирных домов, не является объектом недвижимости, зарегистрировать право собственности на них нельзя.</w:t>
      </w:r>
    </w:p>
    <w:p w:rsidR="00623345" w:rsidRPr="00623345" w:rsidRDefault="00623345" w:rsidP="00623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3345">
        <w:rPr>
          <w:rFonts w:ascii="Times New Roman" w:hAnsi="Times New Roman" w:cs="Times New Roman"/>
          <w:color w:val="333333"/>
          <w:sz w:val="28"/>
          <w:szCs w:val="28"/>
        </w:rPr>
        <w:t>Основанием организации индивидуального парковочного места во дворе может быть решение общего собрания собственников помещений дома, но только в том случае, если земельный участок, на котором расположен дом, принадлежит собственникам помещений в многоквартирном доме на праве общей долевой собственности.</w:t>
      </w:r>
    </w:p>
    <w:p w:rsidR="00623345" w:rsidRPr="00623345" w:rsidRDefault="00623345" w:rsidP="0062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45"/>
    <w:rsid w:val="0058398C"/>
    <w:rsid w:val="0062334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2018-12-20T13:39:00Z</dcterms:created>
  <dcterms:modified xsi:type="dcterms:W3CDTF">2018-12-20T13:39:00Z</dcterms:modified>
</cp:coreProperties>
</file>