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МСК  - вступительные взносы</w:t>
      </w:r>
      <w:r>
        <w:rPr>
          <w:rStyle w:val="Style13"/>
        </w:rPr>
        <w:t> 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5"/>
        <w:spacing w:lineRule="auto" w:line="36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b/>
          <w:bCs/>
          <w:sz w:val="26"/>
          <w:szCs w:val="26"/>
        </w:rPr>
        <w:t>Для принятия решения о распоряжении средствами материнского (семейного) капитала на уплату вступительного и (или) паевого взноса членом жилищного (жилищно-строительного, жилищного накопительного) кооператива, в том числе с использованием кредитных (заемных) средств, в обязательном порядке требуется предоставление заявителем письменного обязательства об оформлении жилого помещения в собственность с указанием конкретного адреса приобретаемого (построенного) жилого помещения.</w:t>
      </w:r>
    </w:p>
    <w:p>
      <w:pPr>
        <w:pStyle w:val="Style15"/>
        <w:spacing w:lineRule="auto" w:line="36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b/>
          <w:bCs/>
          <w:sz w:val="26"/>
          <w:szCs w:val="26"/>
        </w:rPr>
        <w:t xml:space="preserve">Требования по оформлению обязательства по рассмотренным направлениям расходования средств материнского (семейного) капитала предусмотрены пунктами 11(д) и 13(ж)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РФ от 12.12.2007 № 862. </w:t>
      </w:r>
    </w:p>
    <w:p>
      <w:pPr>
        <w:pStyle w:val="Style15"/>
        <w:spacing w:lineRule="auto" w:line="36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b/>
          <w:bCs/>
          <w:sz w:val="26"/>
          <w:szCs w:val="26"/>
        </w:rPr>
        <w:t xml:space="preserve">Обращаем внимание, что законодательством РФ не предусмотрена форма вышеуказанного обязательства, но из смысла требований Федерального закона от 29.12.2006 № 256-ФЗ «О дополнительных мерах государственной поддержки семей, имеющих детей» следует, что сведения о конкретном адресе приобретаемого (строящегося) с использованием средств материнского (семейного) капитала жилого помещения должны прослеживаться по документам, приложенным к заявлению о распоряжении. </w:t>
      </w:r>
    </w:p>
    <w:p>
      <w:pPr>
        <w:pStyle w:val="Style15"/>
        <w:spacing w:lineRule="auto" w:line="36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b/>
          <w:bCs/>
          <w:sz w:val="26"/>
          <w:szCs w:val="26"/>
        </w:rPr>
        <w:t xml:space="preserve">Также, в соответствии с законодательством, приобретенное (построенное) с использованием средств материнского (семейного) капитала жилое помещение должно находиться на территории Российской Федерации. </w:t>
      </w:r>
    </w:p>
    <w:p>
      <w:pPr>
        <w:pStyle w:val="Style15"/>
        <w:spacing w:lineRule="auto" w:line="360" w:before="0" w:after="140"/>
        <w:rPr>
          <w:b/>
          <w:b/>
          <w:bCs/>
          <w:sz w:val="26"/>
          <w:szCs w:val="26"/>
        </w:rPr>
      </w:pPr>
      <w:r>
        <w:rPr>
          <w:rFonts w:ascii="Times New Roman;serif" w:hAnsi="Times New Roman;serif"/>
          <w:b/>
          <w:bCs/>
          <w:sz w:val="26"/>
          <w:szCs w:val="26"/>
        </w:rPr>
        <w:t xml:space="preserve">Таким образом, в случае отсутствия в документах, приложенных к заявлению о распоряжении средствами материнского (семейного) капитала, информации о конкретном адресе приобретаемого (строящегося) жилого помещения, у ПФР отсутствуют основания для удовлетворения заявления.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2019-09-26T17:31:19Z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