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C6" w:rsidRPr="006E44AD" w:rsidRDefault="000812C6" w:rsidP="000812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4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Кадастровая палата оцифровала почти половину архивных дел</w:t>
      </w:r>
    </w:p>
    <w:p w:rsidR="000812C6" w:rsidRPr="006E44AD" w:rsidRDefault="000812C6" w:rsidP="00081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ведет работу по перекомплектованию и переводу в электронный вид кадастровых дел объектов недвижимости.</w:t>
      </w:r>
    </w:p>
    <w:p w:rsidR="000812C6" w:rsidRPr="006E44AD" w:rsidRDefault="000812C6" w:rsidP="00081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В настоящее время специалистами учреждения оцифровано свыше 280 тыс. кадастровых дел, что составляет 48 % от общего объема.</w:t>
      </w:r>
    </w:p>
    <w:p w:rsidR="000812C6" w:rsidRPr="006E44AD" w:rsidRDefault="000812C6" w:rsidP="00081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недвижимости.</w:t>
      </w:r>
    </w:p>
    <w:p w:rsidR="000812C6" w:rsidRPr="006E44AD" w:rsidRDefault="000812C6" w:rsidP="00081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Стратегия архивного хранения разработана Росреестром в целях выполнения дорожной карты по повышению качества государственных услуг в сфере кадастрового учета и регистрации прав на недвижимое имущество.</w:t>
      </w:r>
    </w:p>
    <w:p w:rsidR="000812C6" w:rsidRPr="006E44AD" w:rsidRDefault="000812C6" w:rsidP="00081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К работе по оцифровке архива Кадастровая палата по Волгоградской области приступила в 2015 году.</w:t>
      </w:r>
    </w:p>
    <w:p w:rsidR="000812C6" w:rsidRPr="006E44AD" w:rsidRDefault="000812C6" w:rsidP="00081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4AD">
        <w:rPr>
          <w:rFonts w:ascii="Times New Roman" w:hAnsi="Times New Roman" w:cs="Times New Roman"/>
          <w:color w:val="333333"/>
          <w:sz w:val="28"/>
          <w:szCs w:val="28"/>
        </w:rPr>
        <w:t>Наличие электронных архивов существенно ускоряет сроки проведения учетно-регистрационных процедур, что отражается на общем уровне качества сервисов и услуг Росреестра,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C6"/>
    <w:rsid w:val="000812C6"/>
    <w:rsid w:val="0058398C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2018-12-20T13:33:00Z</dcterms:created>
  <dcterms:modified xsi:type="dcterms:W3CDTF">2018-12-20T13:34:00Z</dcterms:modified>
</cp:coreProperties>
</file>