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</w:t>
      </w:r>
      <w:r>
        <w:rPr>
          <w:b/>
          <w:sz w:val="30"/>
          <w:szCs w:val="30"/>
        </w:rPr>
        <w:t xml:space="preserve">        </w:t>
      </w:r>
      <w:r>
        <w:rPr>
          <w:b/>
          <w:sz w:val="30"/>
          <w:szCs w:val="30"/>
        </w:rPr>
        <w:t>Полезные факты о материнском капитале 2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►</w:t>
      </w:r>
      <w:r>
        <w:rPr>
          <w:rFonts w:ascii="Arial" w:hAnsi="Arial"/>
          <w:color w:val="00669A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сертификат действителен только при предъявлении документа,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удостоверяющего личность;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 xml:space="preserve">► </w:t>
      </w:r>
      <w:r>
        <w:rPr>
          <w:rFonts w:ascii="Arial" w:hAnsi="Arial"/>
          <w:color w:val="000000"/>
          <w:sz w:val="28"/>
          <w:szCs w:val="28"/>
        </w:rPr>
        <w:t>действие сертификата прекращается в случае смерти владельца,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лишения его родительских прав в отношении ребёнка, в связи с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рождением или усыновлением которого возникло право на получение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материнского капитала, совершения им в отношении своего ребёнка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(детей) умышленного преступления, относящегося к преступлениям против личности, а также в случае отмены усыновления ребёнка,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объеме;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669A"/>
          <w:sz w:val="28"/>
          <w:szCs w:val="28"/>
        </w:rPr>
        <w:t xml:space="preserve">► </w:t>
      </w:r>
      <w:r>
        <w:rPr>
          <w:rFonts w:ascii="Arial" w:hAnsi="Arial"/>
          <w:b/>
          <w:color w:val="000000"/>
          <w:sz w:val="28"/>
          <w:szCs w:val="28"/>
        </w:rPr>
        <w:t>средства материнского капитала можно получить только по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безналичному расчету</w:t>
      </w:r>
      <w:r>
        <w:rPr>
          <w:rFonts w:ascii="Arial" w:hAnsi="Arial"/>
          <w:color w:val="000000"/>
          <w:sz w:val="28"/>
          <w:szCs w:val="28"/>
        </w:rPr>
        <w:t>. Любые схемы обналичивания этих средств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являются незаконными. При этом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2021-02-25T15:08:05Z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