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4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4E6F40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 состоялось заседание межведомственной комиссии по организации взаимодействия органов исполнительной власти Волгоградской области в сфере земельных отношений.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F40">
        <w:rPr>
          <w:rFonts w:ascii="Times New Roman" w:hAnsi="Times New Roman" w:cs="Times New Roman"/>
          <w:sz w:val="28"/>
          <w:szCs w:val="28"/>
        </w:rPr>
        <w:t>В заседании участвовали представители Управления Росреестра по Волгоградской области, комитета сельского хозяйства Волгоградской области, комитета строительства Волгоградской области, управления экономического развития комитета экономической политики и развития Волгоградской области, комитета Волгоградской областной Думы по аграрной политике и земельным отношениям, Межрегионального управления Федеральной службы по надзору в сфере природопользования по Астраханской и Волгоградской областям, комитета природных ресурсов и экологии Волгоградской области, комитета</w:t>
      </w:r>
      <w:proofErr w:type="gramEnd"/>
      <w:r w:rsidRPr="004E6F4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Волгоградской области, комитета архитектуры и градостроительства Волгоградской области, Управления 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На заседании рассмотрены следующие вопросы: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результатах деятельности муниципальных межведомственных комиссий по инвентаризации земельных участков сельскохозяйственного назначения и вовлечению в хозяйственный оборот ранее неиспользуемых земельных участков»;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работе органов местного самоуправления муниципальных образований Волгоградской области по признанию права муниципальной собственности на земельные участки, выделенные в счет невостребованных земельных долей, и вовлечению их в хозяйственный оборот»;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«Вопросы подготовки документов территориального планирования муниципальными образованиями Волгоградской области и порядок их согласования администрацией Волгоградской области»;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«Об итогах работы на территории Волгоградской области государственной информационной системы мониторинга сельскохозяйственных угодий (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>)»;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 xml:space="preserve">-«О реализации Закона Волгоградской области от 30.06.2015 № 85-Д «Об установлении критериев, которым должны соответствовать объекты социально-культурного и коммунально-бытового назначения, масштабные </w:t>
      </w:r>
      <w:r w:rsidRPr="004E6F40"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6013BE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Комиссией принято решение продолжить взаимодействие органов исполнительной власти Волгоградской области в сфере земельных отношений.</w:t>
      </w:r>
    </w:p>
    <w:sectPr w:rsidR="006013BE" w:rsidRPr="004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40"/>
    <w:rsid w:val="004E6F40"/>
    <w:rsid w:val="0060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2020-08-17T11:45:00Z</dcterms:created>
  <dcterms:modified xsi:type="dcterms:W3CDTF">2020-08-17T11:46:00Z</dcterms:modified>
</cp:coreProperties>
</file>